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A0A0A"/>
          <w:sz w:val="56"/>
        </w:rPr>
        <w:t>Law Firm AI Use Policy</w:t>
      </w:r>
    </w:p>
    <w:p>
      <w:pPr>
        <w:spacing w:after="400"/>
      </w:pPr>
      <w:r>
        <w:rPr>
          <w:i/>
          <w:color w:val="404040"/>
          <w:sz w:val="26"/>
        </w:rPr>
        <w:t>A working template for adopting generative AI in a US law firm without a Bar complaint, a sanctions order, or a malpractice letter. Comprehensive. Customizable. Free.</w:t>
      </w:r>
    </w:p>
    <w:p>
      <w:pPr>
        <w:spacing w:after="400"/>
      </w:pPr>
      <w:r>
        <w:rPr>
          <w:color w:val="606060"/>
          <w:sz w:val="18"/>
        </w:rPr>
        <w:t>DOC_ID: RES_01 · Version 2026.04 · Last reviewed 2026-04-27</w:t>
        <w:br/>
        <w:t>Published by Knight CTO · https://knightcto.com</w:t>
      </w:r>
    </w:p>
    <w:p>
      <w:pPr>
        <w:spacing w:before="160" w:after="40"/>
        <w:ind w:left="360"/>
      </w:pPr>
      <w:r>
        <w:rPr>
          <w:b/>
          <w:color w:val="C03F00"/>
          <w:sz w:val="18"/>
        </w:rPr>
        <w:t>HOW TO USE</w:t>
      </w:r>
    </w:p>
    <w:p>
      <w:pPr>
        <w:spacing w:after="200"/>
        <w:ind w:left="360"/>
      </w:pPr>
      <w:r>
        <w:rPr>
          <w:i/>
          <w:sz w:val="21"/>
        </w:rPr>
        <w:t>This is a working policy, not a brochure. Copy the entire document into your firm's document management system. Do a global find-replace on every [FIRM], [ROLE], and [DATE] token. Take Sections 5, 7, 9, and 10 to your Managing Partner — they require firm-specific decisions. Adopt by partner vote. Distribute to every attorney and staff member. Re-review quarterly.</w:t>
        <w:br/>
        <w:br/>
        <w:t>Drafted from ABA Formal Opinion 512 (July 2024), the State Bar of California Practical Guidance on Generative AI (November 2024), Florida Bar Ethics Opinion 24-1 (January 2024), Texas Committee on Professional Ethics Opinion 705, the Damien Charlotin AI Hallucination Cases Database (1,294+ cases as of March 2026), and the actual current Terms of Service of Harvey, Thomson Reuters CoCounsel, and OpenAI. Citations throughout. Verify against your jurisdiction before adopting.</w:t>
      </w:r>
    </w:p>
    <w:p>
      <w:pPr>
        <w:spacing w:before="400" w:after="120"/>
      </w:pPr>
      <w:r>
        <w:rPr>
          <w:b/>
          <w:sz w:val="30"/>
        </w:rPr>
        <w:t>1. Definitions</w:t>
      </w:r>
    </w:p>
    <w:p>
      <w:pPr>
        <w:spacing w:after="120"/>
      </w:pPr>
      <w:r>
        <w:rPr>
          <w:b w:val="0"/>
          <w:i w:val="0"/>
        </w:rPr>
        <w:t>For purposes of this Policy:</w:t>
      </w:r>
    </w:p>
    <w:p>
      <w:pPr>
        <w:pStyle w:val="ListBullet"/>
        <w:spacing w:after="80"/>
      </w:pPr>
      <w:r>
        <w:t>"AI" or "Generative AI" means any software system that produces novel text, images, code, or other content in response to user prompts, including (but not limited to) large language models (LLMs), retrieval-augmented generation (RAG) systems, multimodal models, and AI agents.</w:t>
      </w:r>
    </w:p>
    <w:p>
      <w:pPr>
        <w:pStyle w:val="ListBullet"/>
        <w:spacing w:after="80"/>
      </w:pPr>
      <w:r>
        <w:t>"Public AI" means a Generative AI tool offered to the general public on standard consumer terms, where inputs may be (i) retained by the vendor, (ii) used to train or improve the vendor's models, or (iii) accessible to the vendor's personnel. Examples: free-tier ChatGPT, Claude, Gemini.</w:t>
      </w:r>
    </w:p>
    <w:p>
      <w:pPr>
        <w:pStyle w:val="ListBullet"/>
        <w:spacing w:after="80"/>
      </w:pPr>
      <w:r>
        <w:t>"Enterprise AI" means a Generative AI tool offered under a contractual agreement that prohibits training on customer data, imposes a defined data retention period, provides for data deletion on demand, and is supported by a Data Processing Agreement and security addendum. Examples: ChatGPT Enterprise, Claude for Enterprise, Microsoft 365 Copilot enterprise.</w:t>
      </w:r>
    </w:p>
    <w:p>
      <w:pPr>
        <w:pStyle w:val="ListBullet"/>
        <w:spacing w:after="80"/>
      </w:pPr>
      <w:r>
        <w:t>"Legal-Specialized AI" means an Enterprise AI tool designed and marketed primarily for legal practice, with features such as integrated citation verification, jurisdiction awareness, and matter-aware retrieval. Examples: Harvey, Thomson Reuters CoCounsel, LexisNexis Protégé / Lexis+ AI, Spellbook, Casetext.</w:t>
      </w:r>
    </w:p>
    <w:p>
      <w:pPr>
        <w:pStyle w:val="ListBullet"/>
        <w:spacing w:after="80"/>
      </w:pPr>
      <w:r>
        <w:t>"Local-First AI" means a Generative AI tool that processes data primarily on hardware controlled by the Firm or by the responsible attorney, where outbound transmission to a third party is limited to model inference calls under a no-retention contract.</w:t>
      </w:r>
    </w:p>
    <w:p>
      <w:pPr>
        <w:pStyle w:val="ListBullet"/>
        <w:spacing w:after="80"/>
      </w:pPr>
      <w:r>
        <w:t>"Client Confidential Information" has the meaning given in Rule 1.6 of the applicable Rules of Professional Conduct and includes all information relating to the representation of a client, regardless of source.</w:t>
      </w:r>
    </w:p>
    <w:p>
      <w:pPr>
        <w:pStyle w:val="ListBullet"/>
        <w:spacing w:after="80"/>
      </w:pPr>
      <w:r>
        <w:t>"Output" means any content generated by a Generative AI tool, whether text, citation, summary, draft, table, image, or otherwise.</w:t>
      </w:r>
    </w:p>
    <w:p>
      <w:pPr>
        <w:spacing w:before="400" w:after="120"/>
      </w:pPr>
      <w:r>
        <w:rPr>
          <w:b/>
          <w:sz w:val="30"/>
        </w:rPr>
        <w:t>2. Scope &amp; Applicability</w:t>
      </w:r>
    </w:p>
    <w:p>
      <w:pPr>
        <w:spacing w:after="120"/>
      </w:pPr>
      <w:r>
        <w:rPr>
          <w:b w:val="0"/>
          <w:i w:val="0"/>
        </w:rPr>
        <w:t>This Policy applies to:</w:t>
      </w:r>
    </w:p>
    <w:p>
      <w:pPr>
        <w:pStyle w:val="ListNumber"/>
        <w:spacing w:after="80"/>
      </w:pPr>
      <w:r>
        <w:t>All attorneys, of counsel, contract attorneys, paralegals, secretaries, IT staff, marketing personnel, and any other personnel of [FIRM].</w:t>
      </w:r>
    </w:p>
    <w:p>
      <w:pPr>
        <w:pStyle w:val="ListNumber"/>
        <w:spacing w:after="80"/>
      </w:pPr>
      <w:r>
        <w:t>All independent contractors, vendors, and outsourced service providers performing work for the Firm or its clients.</w:t>
      </w:r>
    </w:p>
    <w:p>
      <w:pPr>
        <w:pStyle w:val="ListNumber"/>
        <w:spacing w:after="80"/>
      </w:pPr>
      <w:r>
        <w:t>All Firm-issued devices and any personally-owned device used to access Firm systems or Client Confidential Information ("BYOD").</w:t>
      </w:r>
    </w:p>
    <w:p>
      <w:pPr>
        <w:pStyle w:val="ListNumber"/>
        <w:spacing w:after="80"/>
      </w:pPr>
      <w:r>
        <w:t>All work performed on behalf of any client of the Firm, regardless of practice area, jurisdiction, or matter.</w:t>
      </w:r>
    </w:p>
    <w:p>
      <w:pPr>
        <w:pStyle w:val="ListNumber"/>
        <w:spacing w:after="80"/>
      </w:pPr>
      <w:r>
        <w:t>All non-client work performed using AI in connection with Firm operations (marketing, business development, knowledge management, internal communications, hiring, etc.).</w:t>
      </w:r>
    </w:p>
    <w:p>
      <w:pPr>
        <w:spacing w:after="120"/>
      </w:pPr>
      <w:r>
        <w:rPr>
          <w:b w:val="0"/>
          <w:i w:val="0"/>
        </w:rPr>
        <w:t>This Policy applies to AI use that occurs on Firm-licensed tools and AI use that occurs on personal accounts ("Shadow AI"). The fact that an attorney uses a personal ChatGPT account or a personal Claude account does not exempt that use from this Policy.</w:t>
      </w:r>
    </w:p>
    <w:p>
      <w:pPr>
        <w:spacing w:before="400" w:after="120"/>
      </w:pPr>
      <w:r>
        <w:rPr>
          <w:b/>
          <w:sz w:val="30"/>
        </w:rPr>
        <w:t>3. Foundational Principles</w:t>
      </w:r>
    </w:p>
    <w:p>
      <w:pPr>
        <w:spacing w:after="120"/>
      </w:pPr>
      <w:r>
        <w:rPr>
          <w:b w:val="0"/>
          <w:i w:val="0"/>
        </w:rPr>
        <w:t>This Policy is grounded in six principles. Every other section of this Policy is an operationalization of one or more of these principles:</w:t>
      </w:r>
    </w:p>
    <w:p>
      <w:pPr>
        <w:pStyle w:val="ListNumber"/>
        <w:spacing w:after="80"/>
      </w:pPr>
      <w:r>
        <w:t>The attorney is the final checkpoint. AI does not practice law. AI does not sign briefs. The attorney who signs is responsible for every assertion under Rule 11, Rule 1.1, and inherent judicial authority. "I relied on AI" is not a defense; it is an aggravating factor. See ABA Formal Op. 512, at 10-11; Mata v. Avianca, Inc., 678 F. Supp. 3d 443 (S.D.N.Y. 2023).</w:t>
      </w:r>
    </w:p>
    <w:p>
      <w:pPr>
        <w:pStyle w:val="ListNumber"/>
        <w:spacing w:after="80"/>
      </w:pPr>
      <w:r>
        <w:t>Confidentiality is the default; AI use is the exception. Under Rule 1.6, the duty to preserve confidentiality applies to all information relating to the representation. ABA Op. 512 confirms this duty extends to information input into a GAI tool.</w:t>
      </w:r>
    </w:p>
    <w:p>
      <w:pPr>
        <w:pStyle w:val="ListNumber"/>
        <w:spacing w:after="80"/>
      </w:pPr>
      <w:r>
        <w:t>Tool category determines what data may be used. A tool that retains and trains on inputs is architecturally unsuited for privileged data. A tool that does neither, under contract, may be used for privileged data with informed consent. The decision is technical, not aspirational.</w:t>
      </w:r>
    </w:p>
    <w:p>
      <w:pPr>
        <w:pStyle w:val="ListNumber"/>
        <w:spacing w:after="80"/>
      </w:pPr>
      <w:r>
        <w:t>Verification is non-delegable. Every citation, every quotation, every assertion of fact derived from AI must be independently verified against a primary source.</w:t>
      </w:r>
    </w:p>
    <w:p>
      <w:pPr>
        <w:pStyle w:val="ListNumber"/>
        <w:spacing w:after="80"/>
      </w:pPr>
      <w:r>
        <w:t>Disclosure is owed to clients and to courts. ABA Op. 512 §§ 36-44 require informed consent for material AI use. Federal courts in 90+ districts have standing orders requiring disclosure. The default presumption is: disclose.</w:t>
      </w:r>
    </w:p>
    <w:p>
      <w:pPr>
        <w:pStyle w:val="ListNumber"/>
        <w:spacing w:after="80"/>
      </w:pPr>
      <w:r>
        <w:t>The Firm bears institutional responsibility under Rule 5.3. Vendor AI is non-lawyer assistance. The Firm must take reasonable measures to ensure that the conduct of any non-lawyer (including AI vendors) is compatible with the lawyer's professional obligations.</w:t>
      </w:r>
    </w:p>
    <w:p>
      <w:pPr>
        <w:spacing w:before="400" w:after="120"/>
      </w:pPr>
      <w:r>
        <w:rPr>
          <w:b/>
          <w:sz w:val="30"/>
        </w:rPr>
        <w:t>4. Data Classification</w:t>
      </w:r>
    </w:p>
    <w:p>
      <w:pPr>
        <w:spacing w:after="120"/>
      </w:pPr>
      <w:r>
        <w:rPr>
          <w:b w:val="0"/>
          <w:i w:val="0"/>
        </w:rPr>
        <w:t>Before any AI tool is used on any data, the user must classify the data. The classification controls which tool category may be used.</w:t>
      </w:r>
    </w:p>
    <w:tbl>
      <w:tblPr>
        <w:tblStyle w:val="LightGrid-Accent1"/>
        <w:tblW w:type="auto" w:w="0"/>
        <w:jc w:val="left"/>
        <w:tblLook w:firstColumn="1" w:firstRow="1" w:lastColumn="0" w:lastRow="0" w:noHBand="0" w:noVBand="1" w:val="04A0"/>
      </w:tblPr>
      <w:tblGrid>
        <w:gridCol w:w="3024"/>
        <w:gridCol w:w="3024"/>
        <w:gridCol w:w="3024"/>
      </w:tblGrid>
      <w:tr>
        <w:tc>
          <w:tcPr>
            <w:tcW w:type="dxa" w:w="3024"/>
            <w:shd w:val="clear" w:color="auto" w:fill="0A0A0A"/>
          </w:tcPr>
          <w:p>
            <w:r/>
            <w:r>
              <w:rPr>
                <w:b/>
                <w:color w:val="FFFFFF"/>
                <w:sz w:val="20"/>
              </w:rPr>
              <w:t>Class</w:t>
            </w:r>
          </w:p>
        </w:tc>
        <w:tc>
          <w:tcPr>
            <w:tcW w:type="dxa" w:w="3024"/>
            <w:shd w:val="clear" w:color="auto" w:fill="0A0A0A"/>
          </w:tcPr>
          <w:p>
            <w:r/>
            <w:r>
              <w:rPr>
                <w:b/>
                <w:color w:val="FFFFFF"/>
                <w:sz w:val="20"/>
              </w:rPr>
              <w:t>Definition</w:t>
            </w:r>
          </w:p>
        </w:tc>
        <w:tc>
          <w:tcPr>
            <w:tcW w:type="dxa" w:w="3024"/>
            <w:shd w:val="clear" w:color="auto" w:fill="0A0A0A"/>
          </w:tcPr>
          <w:p>
            <w:r/>
            <w:r>
              <w:rPr>
                <w:b/>
                <w:color w:val="FFFFFF"/>
                <w:sz w:val="20"/>
              </w:rPr>
              <w:t>Examples</w:t>
            </w:r>
          </w:p>
        </w:tc>
      </w:tr>
      <w:tr>
        <w:tc>
          <w:tcPr>
            <w:tcW w:type="dxa" w:w="3024"/>
          </w:tcPr>
          <w:p>
            <w:r/>
            <w:r>
              <w:rPr>
                <w:sz w:val="20"/>
              </w:rPr>
              <w:t>D-1 Public</w:t>
            </w:r>
          </w:p>
        </w:tc>
        <w:tc>
          <w:tcPr>
            <w:tcW w:type="dxa" w:w="3024"/>
          </w:tcPr>
          <w:p>
            <w:r/>
            <w:r>
              <w:rPr>
                <w:sz w:val="20"/>
              </w:rPr>
              <w:t>Information that is published, public-record, or otherwise lawfully available to anyone without restriction.</w:t>
            </w:r>
          </w:p>
        </w:tc>
        <w:tc>
          <w:tcPr>
            <w:tcW w:type="dxa" w:w="3024"/>
          </w:tcPr>
          <w:p>
            <w:r/>
            <w:r>
              <w:rPr>
                <w:sz w:val="20"/>
              </w:rPr>
              <w:t>Reported case law, published statutes, public regulations, the Firm's marketing copy, public CLE materials.</w:t>
            </w:r>
          </w:p>
        </w:tc>
      </w:tr>
      <w:tr>
        <w:tc>
          <w:tcPr>
            <w:tcW w:type="dxa" w:w="3024"/>
          </w:tcPr>
          <w:p>
            <w:r/>
            <w:r>
              <w:rPr>
                <w:sz w:val="20"/>
              </w:rPr>
              <w:t>D-2 Internal</w:t>
            </w:r>
          </w:p>
        </w:tc>
        <w:tc>
          <w:tcPr>
            <w:tcW w:type="dxa" w:w="3024"/>
          </w:tcPr>
          <w:p>
            <w:r/>
            <w:r>
              <w:rPr>
                <w:sz w:val="20"/>
              </w:rPr>
              <w:t>Firm operational information not specific to any client matter. Confidential to the Firm but not subject to Rule 1.6.</w:t>
            </w:r>
          </w:p>
        </w:tc>
        <w:tc>
          <w:tcPr>
            <w:tcW w:type="dxa" w:w="3024"/>
          </w:tcPr>
          <w:p>
            <w:r/>
            <w:r>
              <w:rPr>
                <w:sz w:val="20"/>
              </w:rPr>
              <w:t>Internal CLE outlines, hiring rubrics, financial templates with no client data.</w:t>
            </w:r>
          </w:p>
        </w:tc>
      </w:tr>
      <w:tr>
        <w:tc>
          <w:tcPr>
            <w:tcW w:type="dxa" w:w="3024"/>
          </w:tcPr>
          <w:p>
            <w:r/>
            <w:r>
              <w:rPr>
                <w:sz w:val="20"/>
              </w:rPr>
              <w:t>D-3 Confidential</w:t>
            </w:r>
          </w:p>
        </w:tc>
        <w:tc>
          <w:tcPr>
            <w:tcW w:type="dxa" w:w="3024"/>
          </w:tcPr>
          <w:p>
            <w:r/>
            <w:r>
              <w:rPr>
                <w:sz w:val="20"/>
              </w:rPr>
              <w:t>Any information relating to the representation of a client. Subject to Rule 1.6 in full.</w:t>
            </w:r>
          </w:p>
        </w:tc>
        <w:tc>
          <w:tcPr>
            <w:tcW w:type="dxa" w:w="3024"/>
          </w:tcPr>
          <w:p>
            <w:r/>
            <w:r>
              <w:rPr>
                <w:sz w:val="20"/>
              </w:rPr>
              <w:t>Client name + matter, case-strategy memos, client emails, draft pleadings, discovery materials, witness statements, billing narratives.</w:t>
            </w:r>
          </w:p>
        </w:tc>
      </w:tr>
      <w:tr>
        <w:tc>
          <w:tcPr>
            <w:tcW w:type="dxa" w:w="3024"/>
          </w:tcPr>
          <w:p>
            <w:r/>
            <w:r>
              <w:rPr>
                <w:sz w:val="20"/>
              </w:rPr>
              <w:t>D-4 Highly Sensitive</w:t>
            </w:r>
          </w:p>
        </w:tc>
        <w:tc>
          <w:tcPr>
            <w:tcW w:type="dxa" w:w="3024"/>
          </w:tcPr>
          <w:p>
            <w:r/>
            <w:r>
              <w:rPr>
                <w:sz w:val="20"/>
              </w:rPr>
              <w:t>Confidential information subject to additional regulatory, contractual, or judicial restrictions beyond Rule 1.6.</w:t>
            </w:r>
          </w:p>
        </w:tc>
        <w:tc>
          <w:tcPr>
            <w:tcW w:type="dxa" w:w="3024"/>
          </w:tcPr>
          <w:p>
            <w:r/>
            <w:r>
              <w:rPr>
                <w:sz w:val="20"/>
              </w:rPr>
              <w:t>Sealed records, protective-order materials, PHI under HIPAA, PII subject to CCPA/GDPR, trade secrets, classified information, grand-jury materials, attorney-eyes-only discovery.</w:t>
            </w:r>
          </w:p>
        </w:tc>
      </w:tr>
    </w:tbl>
    <w:p>
      <w:pPr>
        <w:spacing w:after="80"/>
      </w:pPr>
    </w:p>
    <w:p>
      <w:pPr>
        <w:spacing w:after="120"/>
      </w:pPr>
      <w:r>
        <w:rPr>
          <w:b/>
        </w:rPr>
        <w:t xml:space="preserve">When in doubt, classify upward. </w:t>
      </w:r>
      <w:r>
        <w:t>A user who is unsure whether information is D-2 or D-3 must treat it as D-3.</w:t>
      </w:r>
    </w:p>
    <w:p>
      <w:pPr>
        <w:spacing w:before="400" w:after="120"/>
      </w:pPr>
      <w:r>
        <w:rPr>
          <w:b/>
          <w:sz w:val="30"/>
        </w:rPr>
        <w:t>5. Tool Classification &amp; Approved Vendors</w:t>
      </w:r>
    </w:p>
    <w:p>
      <w:pPr>
        <w:spacing w:after="120"/>
      </w:pPr>
      <w:r>
        <w:rPr>
          <w:b w:val="0"/>
          <w:i w:val="0"/>
        </w:rPr>
        <w:t>The Firm classifies all AI tools into one of four tiers. Each tier corresponds to the maximum data classification with which the tool may be used.</w:t>
      </w:r>
    </w:p>
    <w:tbl>
      <w:tblPr>
        <w:tblStyle w:val="LightGrid-Accent1"/>
        <w:tblW w:type="auto" w:w="0"/>
        <w:jc w:val="left"/>
        <w:tblLook w:firstColumn="1" w:firstRow="1" w:lastColumn="0" w:lastRow="0" w:noHBand="0" w:noVBand="1" w:val="04A0"/>
      </w:tblPr>
      <w:tblGrid>
        <w:gridCol w:w="2268"/>
        <w:gridCol w:w="2268"/>
        <w:gridCol w:w="2268"/>
        <w:gridCol w:w="2268"/>
      </w:tblGrid>
      <w:tr>
        <w:tc>
          <w:tcPr>
            <w:tcW w:type="dxa" w:w="2268"/>
            <w:shd w:val="clear" w:color="auto" w:fill="0A0A0A"/>
          </w:tcPr>
          <w:p>
            <w:r/>
            <w:r>
              <w:rPr>
                <w:b/>
                <w:color w:val="FFFFFF"/>
                <w:sz w:val="20"/>
              </w:rPr>
              <w:t>Tier</w:t>
            </w:r>
          </w:p>
        </w:tc>
        <w:tc>
          <w:tcPr>
            <w:tcW w:type="dxa" w:w="2268"/>
            <w:shd w:val="clear" w:color="auto" w:fill="0A0A0A"/>
          </w:tcPr>
          <w:p>
            <w:r/>
            <w:r>
              <w:rPr>
                <w:b/>
                <w:color w:val="FFFFFF"/>
                <w:sz w:val="20"/>
              </w:rPr>
              <w:t>Examples</w:t>
            </w:r>
          </w:p>
        </w:tc>
        <w:tc>
          <w:tcPr>
            <w:tcW w:type="dxa" w:w="2268"/>
            <w:shd w:val="clear" w:color="auto" w:fill="0A0A0A"/>
          </w:tcPr>
          <w:p>
            <w:r/>
            <w:r>
              <w:rPr>
                <w:b/>
                <w:color w:val="FFFFFF"/>
                <w:sz w:val="20"/>
              </w:rPr>
              <w:t>Max Data Class</w:t>
            </w:r>
          </w:p>
        </w:tc>
        <w:tc>
          <w:tcPr>
            <w:tcW w:type="dxa" w:w="2268"/>
            <w:shd w:val="clear" w:color="auto" w:fill="0A0A0A"/>
          </w:tcPr>
          <w:p>
            <w:r/>
            <w:r>
              <w:rPr>
                <w:b/>
                <w:color w:val="FFFFFF"/>
                <w:sz w:val="20"/>
              </w:rPr>
              <w:t>Required Controls</w:t>
            </w:r>
          </w:p>
        </w:tc>
      </w:tr>
      <w:tr>
        <w:tc>
          <w:tcPr>
            <w:tcW w:type="dxa" w:w="2268"/>
          </w:tcPr>
          <w:p>
            <w:r/>
            <w:r>
              <w:rPr>
                <w:sz w:val="20"/>
              </w:rPr>
              <w:t>T-X Prohibited</w:t>
            </w:r>
          </w:p>
        </w:tc>
        <w:tc>
          <w:tcPr>
            <w:tcW w:type="dxa" w:w="2268"/>
          </w:tcPr>
          <w:p>
            <w:r/>
            <w:r>
              <w:rPr>
                <w:sz w:val="20"/>
              </w:rPr>
              <w:t>Free-tier ChatGPT, Claude.ai, Gemini, Copilot, Perplexity; any AI tool not in the approved register.</w:t>
            </w:r>
          </w:p>
        </w:tc>
        <w:tc>
          <w:tcPr>
            <w:tcW w:type="dxa" w:w="2268"/>
          </w:tcPr>
          <w:p>
            <w:r/>
            <w:r>
              <w:rPr>
                <w:sz w:val="20"/>
              </w:rPr>
              <w:t>D-1 only (Firm-counsel review)</w:t>
            </w:r>
          </w:p>
        </w:tc>
        <w:tc>
          <w:tcPr>
            <w:tcW w:type="dxa" w:w="2268"/>
          </w:tcPr>
          <w:p>
            <w:r/>
            <w:r>
              <w:rPr>
                <w:sz w:val="20"/>
              </w:rPr>
              <w:t>Use generally prohibited. D-1 research only on formal exception.</w:t>
            </w:r>
          </w:p>
        </w:tc>
      </w:tr>
      <w:tr>
        <w:tc>
          <w:tcPr>
            <w:tcW w:type="dxa" w:w="2268"/>
          </w:tcPr>
          <w:p>
            <w:r/>
            <w:r>
              <w:rPr>
                <w:sz w:val="20"/>
              </w:rPr>
              <w:t>T-1 Enterprise General</w:t>
            </w:r>
          </w:p>
        </w:tc>
        <w:tc>
          <w:tcPr>
            <w:tcW w:type="dxa" w:w="2268"/>
          </w:tcPr>
          <w:p>
            <w:r/>
            <w:r>
              <w:rPr>
                <w:sz w:val="20"/>
              </w:rPr>
              <w:t>ChatGPT Enterprise, Claude for Enterprise, M365 Copilot (E3/E5), Google Workspace AI, GitHub Copilot Business.</w:t>
            </w:r>
          </w:p>
        </w:tc>
        <w:tc>
          <w:tcPr>
            <w:tcW w:type="dxa" w:w="2268"/>
          </w:tcPr>
          <w:p>
            <w:r/>
            <w:r>
              <w:rPr>
                <w:sz w:val="20"/>
              </w:rPr>
              <w:t>D-1, D-2</w:t>
            </w:r>
          </w:p>
        </w:tc>
        <w:tc>
          <w:tcPr>
            <w:tcW w:type="dxa" w:w="2268"/>
          </w:tcPr>
          <w:p>
            <w:r/>
            <w:r>
              <w:rPr>
                <w:sz w:val="20"/>
              </w:rPr>
              <w:t>Enterprise Agreement, training opt-out, DPA, defined retention, SSO/MFA.</w:t>
            </w:r>
          </w:p>
        </w:tc>
      </w:tr>
      <w:tr>
        <w:tc>
          <w:tcPr>
            <w:tcW w:type="dxa" w:w="2268"/>
          </w:tcPr>
          <w:p>
            <w:r/>
            <w:r>
              <w:rPr>
                <w:sz w:val="20"/>
              </w:rPr>
              <w:t>T-2 Legal-Specialized</w:t>
            </w:r>
          </w:p>
        </w:tc>
        <w:tc>
          <w:tcPr>
            <w:tcW w:type="dxa" w:w="2268"/>
          </w:tcPr>
          <w:p>
            <w:r/>
            <w:r>
              <w:rPr>
                <w:sz w:val="20"/>
              </w:rPr>
              <w:t>Harvey, CoCounsel, Lexis+ AI, Spellbook, Robin AI, Litera AI.</w:t>
            </w:r>
          </w:p>
        </w:tc>
        <w:tc>
          <w:tcPr>
            <w:tcW w:type="dxa" w:w="2268"/>
          </w:tcPr>
          <w:p>
            <w:r/>
            <w:r>
              <w:rPr>
                <w:sz w:val="20"/>
              </w:rPr>
              <w:t>D-1, D-2, D-3</w:t>
            </w:r>
          </w:p>
        </w:tc>
        <w:tc>
          <w:tcPr>
            <w:tcW w:type="dxa" w:w="2268"/>
          </w:tcPr>
          <w:p>
            <w:r/>
            <w:r>
              <w:rPr>
                <w:sz w:val="20"/>
              </w:rPr>
              <w:t>Master Service Agreement, DPA, BAA (if PHI), SOC 2 Type 2, training opt-out, retention &lt;30 days post-termination.</w:t>
            </w:r>
          </w:p>
        </w:tc>
      </w:tr>
      <w:tr>
        <w:tc>
          <w:tcPr>
            <w:tcW w:type="dxa" w:w="2268"/>
          </w:tcPr>
          <w:p>
            <w:r/>
            <w:r>
              <w:rPr>
                <w:sz w:val="20"/>
              </w:rPr>
              <w:t>T-3 Local-First</w:t>
            </w:r>
          </w:p>
        </w:tc>
        <w:tc>
          <w:tcPr>
            <w:tcW w:type="dxa" w:w="2268"/>
          </w:tcPr>
          <w:p>
            <w:r/>
            <w:r>
              <w:rPr>
                <w:sz w:val="20"/>
              </w:rPr>
              <w:t>On-device LLM deployments (e.g., Knight Legal AI workstation), self-hosted RAG with no-retention model API.</w:t>
            </w:r>
          </w:p>
        </w:tc>
        <w:tc>
          <w:tcPr>
            <w:tcW w:type="dxa" w:w="2268"/>
          </w:tcPr>
          <w:p>
            <w:r/>
            <w:r>
              <w:rPr>
                <w:sz w:val="20"/>
              </w:rPr>
              <w:t>D-1, D-2, D-3, D-4</w:t>
            </w:r>
          </w:p>
        </w:tc>
        <w:tc>
          <w:tcPr>
            <w:tcW w:type="dxa" w:w="2268"/>
          </w:tcPr>
          <w:p>
            <w:r/>
            <w:r>
              <w:rPr>
                <w:sz w:val="20"/>
              </w:rPr>
              <w:t>Documented architecture audit, encryption at rest, no-retention model API contract, audit log per query, IT-administered access.</w:t>
            </w:r>
          </w:p>
        </w:tc>
      </w:tr>
    </w:tbl>
    <w:p>
      <w:pPr>
        <w:spacing w:after="80"/>
      </w:pPr>
    </w:p>
    <w:p>
      <w:pPr>
        <w:spacing w:before="160" w:after="40"/>
        <w:ind w:left="360"/>
      </w:pPr>
      <w:r>
        <w:rPr>
          <w:b/>
          <w:color w:val="C03F00"/>
          <w:sz w:val="18"/>
        </w:rPr>
        <w:t>CRITICAL — read before approving</w:t>
      </w:r>
    </w:p>
    <w:p>
      <w:pPr>
        <w:spacing w:after="200"/>
        <w:ind w:left="360"/>
      </w:pPr>
      <w:r>
        <w:rPr>
          <w:i/>
          <w:sz w:val="21"/>
        </w:rPr>
        <w:t>Tool classification is not the same as vendor reputation. Read the actual Master Service Agreement and DPA before classifying any tool. Marketing claims on a vendor's website do not constitute contractual commitments. See Appendix D for decoded clauses from major vendors' current TOS.</w:t>
      </w:r>
    </w:p>
    <w:p>
      <w:pPr>
        <w:spacing w:before="240" w:after="120"/>
      </w:pPr>
      <w:r>
        <w:rPr>
          <w:b/>
          <w:sz w:val="25"/>
        </w:rPr>
        <w:t>Approved Vendor Register</w:t>
      </w:r>
    </w:p>
    <w:p>
      <w:pPr>
        <w:spacing w:after="120"/>
      </w:pPr>
      <w:r>
        <w:rPr>
          <w:b w:val="0"/>
          <w:i w:val="0"/>
        </w:rPr>
        <w:t>The IT department maintains the Firm's authoritative Approved Vendor Register at [INTERNAL_URL]. Use of any AI tool not listed in the Register is prohibited. The Register is reviewed quarterly by the AI Steering Committee (Section 16).</w:t>
      </w:r>
    </w:p>
    <w:p>
      <w:pPr>
        <w:spacing w:after="120"/>
      </w:pPr>
      <w:r>
        <w:rPr>
          <w:b w:val="0"/>
          <w:i w:val="0"/>
        </w:rPr>
        <w:t>Adding a tool to the Register requires:</w:t>
      </w:r>
    </w:p>
    <w:p>
      <w:pPr>
        <w:pStyle w:val="ListNumber"/>
        <w:spacing w:after="80"/>
      </w:pPr>
      <w:r>
        <w:t>A written request from a partner identifying the proposed use case.</w:t>
      </w:r>
    </w:p>
    <w:p>
      <w:pPr>
        <w:pStyle w:val="ListNumber"/>
        <w:spacing w:after="80"/>
      </w:pPr>
      <w:r>
        <w:t>IT review of the vendor's current TOS, DPA, and security addendum (use the Knight CTO Vendor Evaluation Checklist or equivalent).</w:t>
      </w:r>
    </w:p>
    <w:p>
      <w:pPr>
        <w:pStyle w:val="ListNumber"/>
        <w:spacing w:after="80"/>
      </w:pPr>
      <w:r>
        <w:t>Formal Tier classification by the AI Steering Committee.</w:t>
      </w:r>
    </w:p>
    <w:p>
      <w:pPr>
        <w:pStyle w:val="ListNumber"/>
        <w:spacing w:after="80"/>
      </w:pPr>
      <w:r>
        <w:t>Execution of the required contractual controls.</w:t>
      </w:r>
    </w:p>
    <w:p>
      <w:pPr>
        <w:pStyle w:val="ListNumber"/>
        <w:spacing w:after="80"/>
      </w:pPr>
      <w:r>
        <w:t>Documentation in the Register of: vendor, tool name, version, Tier, max data class, contract effective dates, and IT contact.</w:t>
      </w:r>
    </w:p>
    <w:p>
      <w:pPr>
        <w:spacing w:before="400" w:after="120"/>
      </w:pPr>
      <w:r>
        <w:rPr>
          <w:b/>
          <w:sz w:val="30"/>
        </w:rPr>
        <w:t>6. Approved Use Cases by Data Class</w:t>
      </w:r>
    </w:p>
    <w:p>
      <w:pPr>
        <w:spacing w:after="120"/>
      </w:pPr>
      <w:r>
        <w:rPr>
          <w:b w:val="0"/>
          <w:i w:val="0"/>
        </w:rPr>
        <w:t>The following matrix governs whether a given combination of data class and tool tier is permitted.</w:t>
      </w:r>
    </w:p>
    <w:tbl>
      <w:tblPr>
        <w:tblStyle w:val="LightGrid-Accent1"/>
        <w:tblW w:type="auto" w:w="0"/>
        <w:jc w:val="left"/>
        <w:tblLook w:firstColumn="1" w:firstRow="1" w:lastColumn="0" w:lastRow="0" w:noHBand="0" w:noVBand="1" w:val="04A0"/>
      </w:tblPr>
      <w:tblGrid>
        <w:gridCol w:w="1814"/>
        <w:gridCol w:w="1814"/>
        <w:gridCol w:w="1814"/>
        <w:gridCol w:w="1814"/>
        <w:gridCol w:w="1814"/>
      </w:tblGrid>
      <w:tr>
        <w:tc>
          <w:tcPr>
            <w:tcW w:type="dxa" w:w="1814"/>
            <w:shd w:val="clear" w:color="auto" w:fill="0A0A0A"/>
          </w:tcPr>
          <w:p>
            <w:r/>
            <w:r>
              <w:rPr>
                <w:b/>
                <w:color w:val="FFFFFF"/>
                <w:sz w:val="20"/>
              </w:rPr>
              <w:t>Data Class</w:t>
            </w:r>
          </w:p>
        </w:tc>
        <w:tc>
          <w:tcPr>
            <w:tcW w:type="dxa" w:w="1814"/>
            <w:shd w:val="clear" w:color="auto" w:fill="0A0A0A"/>
          </w:tcPr>
          <w:p>
            <w:r/>
            <w:r>
              <w:rPr>
                <w:b/>
                <w:color w:val="FFFFFF"/>
                <w:sz w:val="20"/>
              </w:rPr>
              <w:t>T-X Prohibited</w:t>
            </w:r>
          </w:p>
        </w:tc>
        <w:tc>
          <w:tcPr>
            <w:tcW w:type="dxa" w:w="1814"/>
            <w:shd w:val="clear" w:color="auto" w:fill="0A0A0A"/>
          </w:tcPr>
          <w:p>
            <w:r/>
            <w:r>
              <w:rPr>
                <w:b/>
                <w:color w:val="FFFFFF"/>
                <w:sz w:val="20"/>
              </w:rPr>
              <w:t>T-1 Enterprise</w:t>
            </w:r>
          </w:p>
        </w:tc>
        <w:tc>
          <w:tcPr>
            <w:tcW w:type="dxa" w:w="1814"/>
            <w:shd w:val="clear" w:color="auto" w:fill="0A0A0A"/>
          </w:tcPr>
          <w:p>
            <w:r/>
            <w:r>
              <w:rPr>
                <w:b/>
                <w:color w:val="FFFFFF"/>
                <w:sz w:val="20"/>
              </w:rPr>
              <w:t>T-2 Legal-Specialized</w:t>
            </w:r>
          </w:p>
        </w:tc>
        <w:tc>
          <w:tcPr>
            <w:tcW w:type="dxa" w:w="1814"/>
            <w:shd w:val="clear" w:color="auto" w:fill="0A0A0A"/>
          </w:tcPr>
          <w:p>
            <w:r/>
            <w:r>
              <w:rPr>
                <w:b/>
                <w:color w:val="FFFFFF"/>
                <w:sz w:val="20"/>
              </w:rPr>
              <w:t>T-3 Local-First</w:t>
            </w:r>
          </w:p>
        </w:tc>
      </w:tr>
      <w:tr>
        <w:tc>
          <w:tcPr>
            <w:tcW w:type="dxa" w:w="1814"/>
          </w:tcPr>
          <w:p>
            <w:r/>
            <w:r>
              <w:rPr>
                <w:sz w:val="20"/>
              </w:rPr>
              <w:t>D-1 Public</w:t>
            </w:r>
          </w:p>
        </w:tc>
        <w:tc>
          <w:tcPr>
            <w:tcW w:type="dxa" w:w="1814"/>
          </w:tcPr>
          <w:p>
            <w:r/>
            <w:r>
              <w:rPr>
                <w:sz w:val="20"/>
              </w:rPr>
              <w:t>Prohibited (default)</w:t>
            </w:r>
          </w:p>
        </w:tc>
        <w:tc>
          <w:tcPr>
            <w:tcW w:type="dxa" w:w="1814"/>
          </w:tcPr>
          <w:p>
            <w:r/>
            <w:r>
              <w:rPr>
                <w:sz w:val="20"/>
              </w:rPr>
              <w:t>Permitted</w:t>
            </w:r>
          </w:p>
        </w:tc>
        <w:tc>
          <w:tcPr>
            <w:tcW w:type="dxa" w:w="1814"/>
          </w:tcPr>
          <w:p>
            <w:r/>
            <w:r>
              <w:rPr>
                <w:sz w:val="20"/>
              </w:rPr>
              <w:t>Permitted</w:t>
            </w:r>
          </w:p>
        </w:tc>
        <w:tc>
          <w:tcPr>
            <w:tcW w:type="dxa" w:w="1814"/>
          </w:tcPr>
          <w:p>
            <w:r/>
            <w:r>
              <w:rPr>
                <w:sz w:val="20"/>
              </w:rPr>
              <w:t>Permitted</w:t>
            </w:r>
          </w:p>
        </w:tc>
      </w:tr>
      <w:tr>
        <w:tc>
          <w:tcPr>
            <w:tcW w:type="dxa" w:w="1814"/>
          </w:tcPr>
          <w:p>
            <w:r/>
            <w:r>
              <w:rPr>
                <w:sz w:val="20"/>
              </w:rPr>
              <w:t>D-2 Internal</w:t>
            </w:r>
          </w:p>
        </w:tc>
        <w:tc>
          <w:tcPr>
            <w:tcW w:type="dxa" w:w="1814"/>
          </w:tcPr>
          <w:p>
            <w:r/>
            <w:r>
              <w:rPr>
                <w:sz w:val="20"/>
              </w:rPr>
              <w:t>Prohibited</w:t>
            </w:r>
          </w:p>
        </w:tc>
        <w:tc>
          <w:tcPr>
            <w:tcW w:type="dxa" w:w="1814"/>
          </w:tcPr>
          <w:p>
            <w:r/>
            <w:r>
              <w:rPr>
                <w:sz w:val="20"/>
              </w:rPr>
              <w:t>Permitted</w:t>
            </w:r>
          </w:p>
        </w:tc>
        <w:tc>
          <w:tcPr>
            <w:tcW w:type="dxa" w:w="1814"/>
          </w:tcPr>
          <w:p>
            <w:r/>
            <w:r>
              <w:rPr>
                <w:sz w:val="20"/>
              </w:rPr>
              <w:t>Permitted</w:t>
            </w:r>
          </w:p>
        </w:tc>
        <w:tc>
          <w:tcPr>
            <w:tcW w:type="dxa" w:w="1814"/>
          </w:tcPr>
          <w:p>
            <w:r/>
            <w:r>
              <w:rPr>
                <w:sz w:val="20"/>
              </w:rPr>
              <w:t>Permitted</w:t>
            </w:r>
          </w:p>
        </w:tc>
      </w:tr>
      <w:tr>
        <w:tc>
          <w:tcPr>
            <w:tcW w:type="dxa" w:w="1814"/>
          </w:tcPr>
          <w:p>
            <w:r/>
            <w:r>
              <w:rPr>
                <w:sz w:val="20"/>
              </w:rPr>
              <w:t>D-3 Confidential</w:t>
            </w:r>
          </w:p>
        </w:tc>
        <w:tc>
          <w:tcPr>
            <w:tcW w:type="dxa" w:w="1814"/>
          </w:tcPr>
          <w:p>
            <w:r/>
            <w:r>
              <w:rPr>
                <w:sz w:val="20"/>
              </w:rPr>
              <w:t>Prohibited</w:t>
            </w:r>
          </w:p>
        </w:tc>
        <w:tc>
          <w:tcPr>
            <w:tcW w:type="dxa" w:w="1814"/>
          </w:tcPr>
          <w:p>
            <w:r/>
            <w:r>
              <w:rPr>
                <w:sz w:val="20"/>
              </w:rPr>
              <w:t>Prohibited</w:t>
            </w:r>
          </w:p>
        </w:tc>
        <w:tc>
          <w:tcPr>
            <w:tcW w:type="dxa" w:w="1814"/>
          </w:tcPr>
          <w:p>
            <w:r/>
            <w:r>
              <w:rPr>
                <w:sz w:val="20"/>
              </w:rPr>
              <w:t>Permitted with Conditions</w:t>
            </w:r>
          </w:p>
        </w:tc>
        <w:tc>
          <w:tcPr>
            <w:tcW w:type="dxa" w:w="1814"/>
          </w:tcPr>
          <w:p>
            <w:r/>
            <w:r>
              <w:rPr>
                <w:sz w:val="20"/>
              </w:rPr>
              <w:t>Permitted with Conditions</w:t>
            </w:r>
          </w:p>
        </w:tc>
      </w:tr>
      <w:tr>
        <w:tc>
          <w:tcPr>
            <w:tcW w:type="dxa" w:w="1814"/>
          </w:tcPr>
          <w:p>
            <w:r/>
            <w:r>
              <w:rPr>
                <w:sz w:val="20"/>
              </w:rPr>
              <w:t>D-4 Highly Sensitive</w:t>
            </w:r>
          </w:p>
        </w:tc>
        <w:tc>
          <w:tcPr>
            <w:tcW w:type="dxa" w:w="1814"/>
          </w:tcPr>
          <w:p>
            <w:r/>
            <w:r>
              <w:rPr>
                <w:sz w:val="20"/>
              </w:rPr>
              <w:t>Prohibited</w:t>
            </w:r>
          </w:p>
        </w:tc>
        <w:tc>
          <w:tcPr>
            <w:tcW w:type="dxa" w:w="1814"/>
          </w:tcPr>
          <w:p>
            <w:r/>
            <w:r>
              <w:rPr>
                <w:sz w:val="20"/>
              </w:rPr>
              <w:t>Prohibited</w:t>
            </w:r>
          </w:p>
        </w:tc>
        <w:tc>
          <w:tcPr>
            <w:tcW w:type="dxa" w:w="1814"/>
          </w:tcPr>
          <w:p>
            <w:r/>
            <w:r>
              <w:rPr>
                <w:sz w:val="20"/>
              </w:rPr>
              <w:t>Prohibited (default; partner-level exception only)</w:t>
            </w:r>
          </w:p>
        </w:tc>
        <w:tc>
          <w:tcPr>
            <w:tcW w:type="dxa" w:w="1814"/>
          </w:tcPr>
          <w:p>
            <w:r/>
            <w:r>
              <w:rPr>
                <w:sz w:val="20"/>
              </w:rPr>
              <w:t>Permitted with Conditions</w:t>
            </w:r>
          </w:p>
        </w:tc>
      </w:tr>
    </w:tbl>
    <w:p>
      <w:pPr>
        <w:spacing w:after="80"/>
      </w:pPr>
    </w:p>
    <w:p>
      <w:pPr>
        <w:spacing w:before="240" w:after="120"/>
      </w:pPr>
      <w:r>
        <w:rPr>
          <w:b/>
          <w:sz w:val="25"/>
        </w:rPr>
        <w:t>Conditions for D-3 / D-4 use</w:t>
      </w:r>
    </w:p>
    <w:p>
      <w:pPr>
        <w:pStyle w:val="ListNumber"/>
        <w:spacing w:after="80"/>
      </w:pPr>
      <w:r>
        <w:t>Informed client consent. Per ABA Op. 512 § 35: "merely adding general, boiler-plate provisions to engagement letters purporting to authorize the lawyer to use GAI is not sufficient." Use Section 10 language.</w:t>
      </w:r>
    </w:p>
    <w:p>
      <w:pPr>
        <w:pStyle w:val="ListNumber"/>
        <w:spacing w:after="80"/>
      </w:pPr>
      <w:r>
        <w:t>Pseudonymization where feasible. Replace party names, witness names, account numbers, addresses, and other direct identifiers with neutral placeholders before submission.</w:t>
      </w:r>
    </w:p>
    <w:p>
      <w:pPr>
        <w:pStyle w:val="ListNumber"/>
        <w:spacing w:after="80"/>
      </w:pPr>
      <w:r>
        <w:t>Verification per Section 8. Every assertion derived from the Output must be independently verified.</w:t>
      </w:r>
    </w:p>
    <w:p>
      <w:pPr>
        <w:pStyle w:val="ListNumber"/>
        <w:spacing w:after="80"/>
      </w:pPr>
      <w:r>
        <w:t>Audit log entry per Section 14.</w:t>
      </w:r>
    </w:p>
    <w:p>
      <w:pPr>
        <w:pStyle w:val="ListNumber"/>
        <w:spacing w:after="80"/>
      </w:pPr>
      <w:r>
        <w:t>For D-4: documented written approval of the responsible Partner before the use, attached to the matter file.</w:t>
      </w:r>
    </w:p>
    <w:p>
      <w:pPr>
        <w:spacing w:before="400" w:after="120"/>
      </w:pPr>
      <w:r>
        <w:rPr>
          <w:b/>
          <w:sz w:val="30"/>
        </w:rPr>
        <w:t>7. Prohibited Uses</w:t>
      </w:r>
    </w:p>
    <w:p>
      <w:pPr>
        <w:spacing w:after="120"/>
      </w:pPr>
      <w:r>
        <w:rPr>
          <w:b w:val="0"/>
          <w:i w:val="0"/>
        </w:rPr>
        <w:t>The following are prohibited at all tiers, on all data, by all personnel, with no exception:</w:t>
      </w:r>
    </w:p>
    <w:p>
      <w:pPr>
        <w:pStyle w:val="ListNumber"/>
        <w:spacing w:after="80"/>
      </w:pPr>
      <w:r>
        <w:t>Submitting a brief, motion, declaration, or other court filing without independent verification of every citation against a primary source (Westlaw, Lexis, Bloomberg Law, the court's own docket, or the official reporter).</w:t>
      </w:r>
    </w:p>
    <w:p>
      <w:pPr>
        <w:pStyle w:val="ListNumber"/>
        <w:spacing w:after="80"/>
      </w:pPr>
      <w:r>
        <w:t>Representing AI-generated text as the original work of a lawyer or as the lawyer's own thinking, in any context where the audience would reasonably expect lawyer-original content.</w:t>
      </w:r>
    </w:p>
    <w:p>
      <w:pPr>
        <w:pStyle w:val="ListNumber"/>
        <w:spacing w:after="80"/>
      </w:pPr>
      <w:r>
        <w:t>Inputting Client Confidential Information (D-3 or D-4) into any tool classified T-X (free consumer AI).</w:t>
      </w:r>
    </w:p>
    <w:p>
      <w:pPr>
        <w:pStyle w:val="ListNumber"/>
        <w:spacing w:after="80"/>
      </w:pPr>
      <w:r>
        <w:t>Inputting D-4 information into any tool not classified T-3 without prior written Partner approval.</w:t>
      </w:r>
    </w:p>
    <w:p>
      <w:pPr>
        <w:pStyle w:val="ListNumber"/>
        <w:spacing w:after="80"/>
      </w:pPr>
      <w:r>
        <w:t>Using AI to draft, review, or analyze a matter for which the user has not been formally assigned, even where the user has technical access to the file.</w:t>
      </w:r>
    </w:p>
    <w:p>
      <w:pPr>
        <w:pStyle w:val="ListNumber"/>
        <w:spacing w:after="80"/>
      </w:pPr>
      <w:r>
        <w:t>Using AI to generate fabricated communications attributed to identifiable third parties (witnesses, opposing counsel, judges, clients).</w:t>
      </w:r>
    </w:p>
    <w:p>
      <w:pPr>
        <w:pStyle w:val="ListNumber"/>
        <w:spacing w:after="80"/>
      </w:pPr>
      <w:r>
        <w:t>Using AI to circumvent any restriction in a protective order, sealing order, NDA, or court-imposed limitation.</w:t>
      </w:r>
    </w:p>
    <w:p>
      <w:pPr>
        <w:pStyle w:val="ListNumber"/>
        <w:spacing w:after="80"/>
      </w:pPr>
      <w:r>
        <w:t>Using AI for any task subject to a client-specific AI restriction in the engagement letter or separate written instruction.</w:t>
      </w:r>
    </w:p>
    <w:p>
      <w:pPr>
        <w:pStyle w:val="ListNumber"/>
        <w:spacing w:after="80"/>
      </w:pPr>
      <w:r>
        <w:t>Using AI to evaluate, score, or screen candidates for hiring without prior approval of the hiring partner and the General Counsel of the Firm.</w:t>
      </w:r>
    </w:p>
    <w:p>
      <w:pPr>
        <w:pStyle w:val="ListNumber"/>
        <w:spacing w:after="80"/>
      </w:pPr>
      <w:r>
        <w:t>Bypassing the verification protocol (Section 8) in the interest of speed.</w:t>
      </w:r>
    </w:p>
    <w:p>
      <w:pPr>
        <w:spacing w:before="400" w:after="120"/>
      </w:pPr>
      <w:r>
        <w:rPr>
          <w:b/>
          <w:sz w:val="30"/>
        </w:rPr>
        <w:t>8. Verification &amp; Citation Protocol</w:t>
      </w:r>
    </w:p>
    <w:p>
      <w:pPr>
        <w:spacing w:after="120"/>
      </w:pPr>
      <w:r>
        <w:rPr>
          <w:b w:val="0"/>
          <w:i w:val="0"/>
        </w:rPr>
        <w:t>For any AI Output that will be (i) included in a court filing, (ii) included in a written legal opinion to a client, (iii) included in a transactional document, or (iv) relied upon for any legal advice given to a client, the responsible attorney must complete the four-step verification protocol below:</w:t>
      </w:r>
    </w:p>
    <w:p>
      <w:pPr>
        <w:spacing w:before="240" w:after="120"/>
      </w:pPr>
      <w:r>
        <w:rPr>
          <w:b/>
          <w:sz w:val="25"/>
        </w:rPr>
        <w:t>STEP 01 — Source verification</w:t>
      </w:r>
    </w:p>
    <w:p>
      <w:pPr>
        <w:spacing w:after="120"/>
      </w:pPr>
      <w:r>
        <w:rPr>
          <w:b w:val="0"/>
          <w:i w:val="0"/>
        </w:rPr>
        <w:t>For every citation in the Output, retrieve the cited authority from a primary source — Westlaw, LexisNexis, Bloomberg Law, the court's own opinion (PACER), or the official reporter. Do not verify a citation by asking the same AI tool to confirm it. Schwartz did this in Mata; ChatGPT confirmed the cases existed; the cases did not exist; sanctions issued.</w:t>
      </w:r>
    </w:p>
    <w:p>
      <w:pPr>
        <w:spacing w:before="240" w:after="120"/>
      </w:pPr>
      <w:r>
        <w:rPr>
          <w:b/>
          <w:sz w:val="25"/>
        </w:rPr>
        <w:t>STEP 02 — Pinpoint verification</w:t>
      </w:r>
    </w:p>
    <w:p>
      <w:pPr>
        <w:spacing w:after="120"/>
      </w:pPr>
      <w:r>
        <w:rPr>
          <w:b w:val="0"/>
          <w:i w:val="0"/>
        </w:rPr>
        <w:t>For every quotation in the Output, retrieve the actual text from the cited source and confirm it matches verbatim. AI tools paraphrase liberally and present paraphrases as direct quotations. The 2026 Cassata v. Macrina sanctions order in NY explicitly addressed paraphrase-presented-as-quotation as a Rule 11 violation.</w:t>
      </w:r>
    </w:p>
    <w:p>
      <w:pPr>
        <w:spacing w:before="240" w:after="120"/>
      </w:pPr>
      <w:r>
        <w:rPr>
          <w:b/>
          <w:sz w:val="25"/>
        </w:rPr>
        <w:t>STEP 03 — Holding verification</w:t>
      </w:r>
    </w:p>
    <w:p>
      <w:pPr>
        <w:spacing w:after="120"/>
      </w:pPr>
      <w:r>
        <w:rPr>
          <w:b w:val="0"/>
          <w:i w:val="0"/>
        </w:rPr>
        <w:t>For every proposition for which a case is cited, read the cited portion of the case and confirm that the case actually stands for the proposition asserted. AI tools regularly cite real cases for propositions the cases reject.</w:t>
      </w:r>
    </w:p>
    <w:p>
      <w:pPr>
        <w:spacing w:before="240" w:after="120"/>
      </w:pPr>
      <w:r>
        <w:rPr>
          <w:b/>
          <w:sz w:val="25"/>
        </w:rPr>
        <w:t>STEP 04 — Documentation</w:t>
      </w:r>
    </w:p>
    <w:p>
      <w:pPr>
        <w:spacing w:after="120"/>
      </w:pPr>
      <w:r>
        <w:rPr>
          <w:b w:val="0"/>
          <w:i w:val="0"/>
        </w:rPr>
        <w:t>Document the verification in the matter file. At minimum: tool used, date and time, user, general description of the prompt, and for each cited authority, the verification source consulted. Use the audit log template in Section 14.</w:t>
      </w:r>
    </w:p>
    <w:p>
      <w:pPr>
        <w:spacing w:before="160" w:after="40"/>
        <w:ind w:left="360"/>
      </w:pPr>
      <w:r>
        <w:rPr>
          <w:b/>
          <w:color w:val="C03F00"/>
          <w:sz w:val="18"/>
        </w:rPr>
        <w:t>2026 reality check</w:t>
      </w:r>
    </w:p>
    <w:p>
      <w:pPr>
        <w:spacing w:after="200"/>
        <w:ind w:left="360"/>
      </w:pPr>
      <w:r>
        <w:rPr>
          <w:i/>
          <w:sz w:val="21"/>
        </w:rPr>
        <w:t>As of March 2026, the Damien Charlotin AI Hallucination Cases Database tracks 1,294+ documented court decisions involving AI-fabricated material, with approximately 800 from US courts. The largest single sanction is $86,000 (ByoPlanet v. Johansson, S.D. Fla. Aug. 2025); the next is $31,100 (Lacey v. State Farm, C.D. Cal. May 2025) against Ellis George + K&amp;L Gates jointly. Sullivan &amp; Cromwell apologized to Chief Judge Glenn in April 2026 for ~28 erroneous citations in Prince Global Holdings.</w:t>
      </w:r>
    </w:p>
    <w:p>
      <w:pPr>
        <w:spacing w:before="400" w:after="120"/>
      </w:pPr>
      <w:r>
        <w:rPr>
          <w:b/>
          <w:sz w:val="30"/>
        </w:rPr>
        <w:t>9. Court Disclosure</w:t>
      </w:r>
    </w:p>
    <w:p>
      <w:pPr>
        <w:spacing w:after="120"/>
      </w:pPr>
      <w:r>
        <w:rPr>
          <w:b w:val="0"/>
          <w:i w:val="0"/>
        </w:rPr>
        <w:t>As of April 2026, more than 300 federal judges and dozens of state-court judges have issued standing orders or local rules requiring disclosure of AI use in court filings. The orders vary materially. The user is responsible for determining the rule of the specific judge and court before any filing.</w:t>
      </w:r>
    </w:p>
    <w:p>
      <w:pPr>
        <w:spacing w:after="120"/>
      </w:pPr>
      <w:r>
        <w:rPr>
          <w:b w:val="0"/>
          <w:i w:val="0"/>
        </w:rPr>
        <w:t>The Firm's IT department maintains an internal cross-reference at [INTERNAL_URL]. The cross-reference is best-effort; the canonical source is the judge's chambers and the court's local rules.</w:t>
      </w:r>
    </w:p>
    <w:p>
      <w:pPr>
        <w:spacing w:before="240" w:after="120"/>
      </w:pPr>
      <w:r>
        <w:rPr>
          <w:b/>
          <w:sz w:val="25"/>
        </w:rPr>
        <w:t>Default disclosure language</w:t>
      </w:r>
    </w:p>
    <w:p>
      <w:pPr>
        <w:spacing w:after="120"/>
      </w:pPr>
      <w:r>
        <w:rPr>
          <w:b w:val="0"/>
          <w:i w:val="0"/>
        </w:rPr>
        <w:t>Where a court requires disclosure but does not prescribe the form, the following language is acceptable to most US courts that have addressed the issue (modeled on Judge Nina Y. Wang, D. Colo., effective Dec. 1, 2025):</w:t>
      </w:r>
    </w:p>
    <w:p>
      <w:pPr>
        <w:spacing w:before="160" w:after="40"/>
        <w:ind w:left="360"/>
      </w:pPr>
      <w:r>
        <w:rPr>
          <w:b/>
          <w:color w:val="C03F00"/>
          <w:sz w:val="18"/>
        </w:rPr>
        <w:t>Sample disclosure</w:t>
      </w:r>
    </w:p>
    <w:p>
      <w:pPr>
        <w:spacing w:after="200"/>
        <w:ind w:left="360"/>
      </w:pPr>
      <w:r>
        <w:rPr>
          <w:i/>
          <w:sz w:val="21"/>
        </w:rPr>
        <w:t>The undersigned counsel certifies that generative artificial intelligence — specifically, [TOOL_NAME], accessed under [FIRM]'s enterprise license — was used in the preparation of this filing for the limited purpose of [describe]. All language drafted with the assistance of generative AI was personally reviewed by counsel of record. All cited authority was independently verified against the primary source. [CLIENT] was advised of and consented to such use.</w:t>
      </w:r>
    </w:p>
    <w:p>
      <w:pPr>
        <w:spacing w:before="240" w:after="120"/>
      </w:pPr>
      <w:r>
        <w:rPr>
          <w:b/>
          <w:sz w:val="25"/>
        </w:rPr>
        <w:t>Where disclosure is not required</w:t>
      </w:r>
    </w:p>
    <w:p>
      <w:pPr>
        <w:spacing w:after="120"/>
      </w:pPr>
      <w:r>
        <w:rPr>
          <w:b w:val="0"/>
          <w:i w:val="0"/>
        </w:rPr>
        <w:t>Even where a court has no standing order, default to disclosure when (i) the AI use was material to the substantive content of the filing, (ii) the filing contains a representation of original analysis, or (iii) the lawyer would consider disclosure if asked.</w:t>
      </w:r>
    </w:p>
    <w:p>
      <w:pPr>
        <w:spacing w:before="400" w:after="120"/>
      </w:pPr>
      <w:r>
        <w:rPr>
          <w:b/>
          <w:sz w:val="30"/>
        </w:rPr>
        <w:t>10. Client Disclosure &amp; Engagement Letter Language</w:t>
      </w:r>
    </w:p>
    <w:p>
      <w:pPr>
        <w:spacing w:after="120"/>
      </w:pPr>
      <w:r>
        <w:rPr>
          <w:b w:val="0"/>
          <w:i w:val="0"/>
        </w:rPr>
        <w:t>ABA Op. 512 distinguishes between AI uses that are routine and require no client-specific disclosure (e.g., grammar-check on internal emails, AI-assisted document indexing) and AI uses that require informed consent under Rules 1.4 and 1.6.</w:t>
      </w:r>
    </w:p>
    <w:p>
      <w:pPr>
        <w:spacing w:after="120"/>
      </w:pPr>
      <w:r>
        <w:rPr>
          <w:b w:val="0"/>
          <w:i w:val="0"/>
        </w:rPr>
        <w:t>Informed consent is required where the AI use will involve (a) input of D-3 or D-4 data, (b) AI-generated work product delivered to the client as the lawyer's original work, or (c) AI use that would materially affect the client's evaluation of the lawyer's work. Boilerplate consent in the engagement letter is insufficient. ABA Op. 512 § 35.</w:t>
      </w:r>
    </w:p>
    <w:p>
      <w:pPr>
        <w:spacing w:before="240" w:after="120"/>
      </w:pPr>
      <w:r>
        <w:rPr>
          <w:b/>
          <w:sz w:val="25"/>
        </w:rPr>
        <w:t>Recommended engagement letter language (2026)</w:t>
      </w:r>
    </w:p>
    <w:p>
      <w:pPr>
        <w:spacing w:before="160" w:after="40"/>
        <w:ind w:left="360"/>
      </w:pPr>
      <w:r>
        <w:rPr>
          <w:b/>
          <w:color w:val="C03F00"/>
          <w:sz w:val="18"/>
        </w:rPr>
        <w:t>Sample clause — engagement letter (adapt to your jurisdiction)</w:t>
      </w:r>
    </w:p>
    <w:p>
      <w:pPr>
        <w:spacing w:after="200"/>
        <w:ind w:left="360"/>
      </w:pPr>
      <w:r>
        <w:rPr>
          <w:i/>
          <w:sz w:val="21"/>
        </w:rPr>
        <w:t>Use of Generative Artificial Intelligence.</w:t>
        <w:br/>
        <w:br/>
        <w:t>The Firm uses generative artificial intelligence ("AI") tools in selected aspects of its practice. The Firm has classified the AI tools it uses, and uses each tool only with categories of information for which the tool's contractual terms provide adequate confidentiality protection. The Firm does not use free, consumer-grade AI tools (such as the public version of ChatGPT) with any information relating to your representation. Every assertion of fact and every legal citation derived from any AI tool is independently verified by an attorney before use in any document delivered to you, filed with a court, or relied upon for advice.</w:t>
        <w:br/>
        <w:br/>
        <w:t>By signing this engagement letter, you acknowledge that the Firm may use generative AI tools for the following limited purposes in your matter: (i) document review and indexing, (ii) initial drafting of routine documents and correspondence, (iii) legal research support (subject to verification by an attorney), and (iv) administrative tasks such as scheduling and meeting summaries. You may opt out of any or all of these uses by giving the Firm written notice.</w:t>
        <w:br/>
        <w:br/>
        <w:t>The Firm will obtain your separate written consent before using any AI tool to (a) analyze unredacted attorney-client privileged communications other than as part of the Firm's standard document-review workflow, (b) generate substantive legal analysis or strategy that will be presented to you as the Firm's original work, or (c) handle any information subject to a court protective order, sealing order, or other restriction.</w:t>
        <w:br/>
        <w:br/>
        <w:t>The Firm will not pass through to you the cost of subscriptions to general-purpose AI tools used by the Firm. Where the Firm uses a matter-specific paid AI service, the Firm may charge the actual, documented cost as a disbursement, after notice to you. Time saved by AI use will be reflected in the Firm's invoices: the Firm will not bill you for hours not actually worked.</w:t>
      </w:r>
    </w:p>
    <w:p>
      <w:pPr>
        <w:spacing w:after="120"/>
      </w:pPr>
      <w:r>
        <w:rPr>
          <w:b w:val="0"/>
          <w:i w:val="0"/>
        </w:rPr>
        <w:t>Client acknowledges this disclosure: [CLIENT INITIAL] _____ Date: [DATE] _____</w:t>
      </w:r>
    </w:p>
    <w:p>
      <w:pPr>
        <w:spacing w:before="240" w:after="120"/>
      </w:pPr>
      <w:r>
        <w:rPr>
          <w:b/>
          <w:sz w:val="25"/>
        </w:rPr>
        <w:t>For matters with elevated risk</w:t>
      </w:r>
    </w:p>
    <w:p>
      <w:pPr>
        <w:spacing w:after="120"/>
      </w:pPr>
      <w:r>
        <w:rPr>
          <w:b w:val="0"/>
          <w:i w:val="0"/>
        </w:rPr>
        <w:t>For matters involving D-4 data, regulated industries (healthcare, finance, defense, public sector), or sophisticated clients with their own AI procurement standards, use a separate written AI-use addendum that specifies the tools, the categories of data, the verification protocol, and the data-retention terms.</w:t>
      </w:r>
    </w:p>
    <w:p>
      <w:pPr>
        <w:spacing w:before="400" w:after="120"/>
      </w:pPr>
      <w:r>
        <w:rPr>
          <w:b/>
          <w:sz w:val="30"/>
        </w:rPr>
        <w:t>11. Supervisory Responsibility (Rule 5.3)</w:t>
      </w:r>
    </w:p>
    <w:p>
      <w:pPr>
        <w:spacing w:after="120"/>
      </w:pPr>
      <w:r>
        <w:rPr>
          <w:b w:val="0"/>
          <w:i w:val="0"/>
        </w:rPr>
        <w:t>Under Rule 5.3, partners and supervisory attorneys are responsible for ensuring that the conduct of any non-lawyer assistant — including a generative AI tool used by an associate, paralegal, or contract attorney — is compatible with the lawyer's professional obligations.</w:t>
      </w:r>
    </w:p>
    <w:p>
      <w:pPr>
        <w:spacing w:after="120"/>
      </w:pPr>
      <w:r>
        <w:rPr>
          <w:b w:val="0"/>
          <w:i w:val="0"/>
        </w:rPr>
        <w:t>This means:</w:t>
      </w:r>
    </w:p>
    <w:p>
      <w:pPr>
        <w:pStyle w:val="ListNumber"/>
        <w:spacing w:after="80"/>
      </w:pPr>
      <w:r>
        <w:t>The supervising partner is personally exposed to discipline for AI errors in work product the partner signs. See ABA Op. 512 §§ 50-58; Smith v. Farwell, 2024 WL 668533 (Mass. Super. Feb. 12, 2024) (supervising lawyer fined $2,000 for associate's AI hallucinations); Lacey v. State Farm, No. 2:22-cv-09438 (C.D. Cal. May 6, 2025) ($31,100 against firms jointly).</w:t>
      </w:r>
    </w:p>
    <w:p>
      <w:pPr>
        <w:pStyle w:val="ListNumber"/>
        <w:spacing w:after="80"/>
      </w:pPr>
      <w:r>
        <w:t>"I did not know my associate used AI" is generally not a defense. The Fletcher v. Experian opinion (5th Cir. Feb. 2026) explicitly rejected this argument.</w:t>
      </w:r>
    </w:p>
    <w:p>
      <w:pPr>
        <w:pStyle w:val="ListNumber"/>
        <w:spacing w:after="80"/>
      </w:pPr>
      <w:r>
        <w:t>Each supervising partner must (i) confirm in writing each quarter that the associates and staff under their supervision have completed required AI training (Section 12), (ii) review at least one AI-assisted work product per quarter for compliance with this Policy, and (iii) report any non-compliance to the AI Steering Committee within 7 days.</w:t>
      </w:r>
    </w:p>
    <w:p>
      <w:pPr>
        <w:spacing w:before="400" w:after="120"/>
      </w:pPr>
      <w:r>
        <w:rPr>
          <w:b/>
          <w:sz w:val="30"/>
        </w:rPr>
        <w:t>12. Training Requirements</w:t>
      </w:r>
    </w:p>
    <w:p>
      <w:pPr>
        <w:spacing w:after="120"/>
      </w:pPr>
      <w:r>
        <w:rPr>
          <w:b w:val="0"/>
          <w:i w:val="0"/>
        </w:rPr>
        <w:t>The Firm requires three tiers of mandatory AI training. No personnel may use any AI tool on Firm work until the applicable training has been completed and certified by [ROLE].</w:t>
      </w:r>
    </w:p>
    <w:tbl>
      <w:tblPr>
        <w:tblStyle w:val="LightGrid-Accent1"/>
        <w:tblW w:type="auto" w:w="0"/>
        <w:jc w:val="left"/>
        <w:tblLook w:firstColumn="1" w:firstRow="1" w:lastColumn="0" w:lastRow="0" w:noHBand="0" w:noVBand="1" w:val="04A0"/>
      </w:tblPr>
      <w:tblGrid>
        <w:gridCol w:w="2268"/>
        <w:gridCol w:w="2268"/>
        <w:gridCol w:w="2268"/>
        <w:gridCol w:w="2268"/>
      </w:tblGrid>
      <w:tr>
        <w:tc>
          <w:tcPr>
            <w:tcW w:type="dxa" w:w="2268"/>
            <w:shd w:val="clear" w:color="auto" w:fill="0A0A0A"/>
          </w:tcPr>
          <w:p>
            <w:r/>
            <w:r>
              <w:rPr>
                <w:b/>
                <w:color w:val="FFFFFF"/>
                <w:sz w:val="20"/>
              </w:rPr>
              <w:t>Tier</w:t>
            </w:r>
          </w:p>
        </w:tc>
        <w:tc>
          <w:tcPr>
            <w:tcW w:type="dxa" w:w="2268"/>
            <w:shd w:val="clear" w:color="auto" w:fill="0A0A0A"/>
          </w:tcPr>
          <w:p>
            <w:r/>
            <w:r>
              <w:rPr>
                <w:b/>
                <w:color w:val="FFFFFF"/>
                <w:sz w:val="20"/>
              </w:rPr>
              <w:t>Audience</w:t>
            </w:r>
          </w:p>
        </w:tc>
        <w:tc>
          <w:tcPr>
            <w:tcW w:type="dxa" w:w="2268"/>
            <w:shd w:val="clear" w:color="auto" w:fill="0A0A0A"/>
          </w:tcPr>
          <w:p>
            <w:r/>
            <w:r>
              <w:rPr>
                <w:b/>
                <w:color w:val="FFFFFF"/>
                <w:sz w:val="20"/>
              </w:rPr>
              <w:t>Content</w:t>
            </w:r>
          </w:p>
        </w:tc>
        <w:tc>
          <w:tcPr>
            <w:tcW w:type="dxa" w:w="2268"/>
            <w:shd w:val="clear" w:color="auto" w:fill="0A0A0A"/>
          </w:tcPr>
          <w:p>
            <w:r/>
            <w:r>
              <w:rPr>
                <w:b/>
                <w:color w:val="FFFFFF"/>
                <w:sz w:val="20"/>
              </w:rPr>
              <w:t>Frequency</w:t>
            </w:r>
          </w:p>
        </w:tc>
      </w:tr>
      <w:tr>
        <w:tc>
          <w:tcPr>
            <w:tcW w:type="dxa" w:w="2268"/>
          </w:tcPr>
          <w:p>
            <w:r/>
            <w:r>
              <w:rPr>
                <w:sz w:val="20"/>
              </w:rPr>
              <w:t>Foundation</w:t>
            </w:r>
          </w:p>
        </w:tc>
        <w:tc>
          <w:tcPr>
            <w:tcW w:type="dxa" w:w="2268"/>
          </w:tcPr>
          <w:p>
            <w:r/>
            <w:r>
              <w:rPr>
                <w:sz w:val="20"/>
              </w:rPr>
              <w:t>All personnel</w:t>
            </w:r>
          </w:p>
        </w:tc>
        <w:tc>
          <w:tcPr>
            <w:tcW w:type="dxa" w:w="2268"/>
          </w:tcPr>
          <w:p>
            <w:r/>
            <w:r>
              <w:rPr>
                <w:sz w:val="20"/>
              </w:rPr>
              <w:t>What AI is and is not. The Firm's AI Use Policy. Data classification. Approved vs. prohibited tools. Reporting obligations. ABA Op. 512 in plain language.</w:t>
            </w:r>
          </w:p>
        </w:tc>
        <w:tc>
          <w:tcPr>
            <w:tcW w:type="dxa" w:w="2268"/>
          </w:tcPr>
          <w:p>
            <w:r/>
            <w:r>
              <w:rPr>
                <w:sz w:val="20"/>
              </w:rPr>
              <w:t>Within 30 days of joining; annual refresher.</w:t>
            </w:r>
          </w:p>
        </w:tc>
      </w:tr>
      <w:tr>
        <w:tc>
          <w:tcPr>
            <w:tcW w:type="dxa" w:w="2268"/>
          </w:tcPr>
          <w:p>
            <w:r/>
            <w:r>
              <w:rPr>
                <w:sz w:val="20"/>
              </w:rPr>
              <w:t>Practitioner</w:t>
            </w:r>
          </w:p>
        </w:tc>
        <w:tc>
          <w:tcPr>
            <w:tcW w:type="dxa" w:w="2268"/>
          </w:tcPr>
          <w:p>
            <w:r/>
            <w:r>
              <w:rPr>
                <w:sz w:val="20"/>
              </w:rPr>
              <w:t>All attorneys, paralegals, and any staff member who will use AI tools directly</w:t>
            </w:r>
          </w:p>
        </w:tc>
        <w:tc>
          <w:tcPr>
            <w:tcW w:type="dxa" w:w="2268"/>
          </w:tcPr>
          <w:p>
            <w:r/>
            <w:r>
              <w:rPr>
                <w:sz w:val="20"/>
              </w:rPr>
              <w:t>Hands-on training with each approved tool. Verification protocol (Section 8). Court disclosure (Section 9). Client disclosure (Section 10). Hallucination recognition.</w:t>
            </w:r>
          </w:p>
        </w:tc>
        <w:tc>
          <w:tcPr>
            <w:tcW w:type="dxa" w:w="2268"/>
          </w:tcPr>
          <w:p>
            <w:r/>
            <w:r>
              <w:rPr>
                <w:sz w:val="20"/>
              </w:rPr>
              <w:t>Within 60 days of joining; annual refresher; tool-specific refresher when a new tool is added.</w:t>
            </w:r>
          </w:p>
        </w:tc>
      </w:tr>
      <w:tr>
        <w:tc>
          <w:tcPr>
            <w:tcW w:type="dxa" w:w="2268"/>
          </w:tcPr>
          <w:p>
            <w:r/>
            <w:r>
              <w:rPr>
                <w:sz w:val="20"/>
              </w:rPr>
              <w:t>Leadership</w:t>
            </w:r>
          </w:p>
        </w:tc>
        <w:tc>
          <w:tcPr>
            <w:tcW w:type="dxa" w:w="2268"/>
          </w:tcPr>
          <w:p>
            <w:r/>
            <w:r>
              <w:rPr>
                <w:sz w:val="20"/>
              </w:rPr>
              <w:t>Partners, practice group leaders, supervising attorneys</w:t>
            </w:r>
          </w:p>
        </w:tc>
        <w:tc>
          <w:tcPr>
            <w:tcW w:type="dxa" w:w="2268"/>
          </w:tcPr>
          <w:p>
            <w:r/>
            <w:r>
              <w:rPr>
                <w:sz w:val="20"/>
              </w:rPr>
              <w:t>Foundation + Practitioner content. Plus: supervisory obligations under Rule 5.3, Section 11 quarterly reviews, recent sanctions cases (Appendix C), regulatory developments.</w:t>
            </w:r>
          </w:p>
        </w:tc>
        <w:tc>
          <w:tcPr>
            <w:tcW w:type="dxa" w:w="2268"/>
          </w:tcPr>
          <w:p>
            <w:r/>
            <w:r>
              <w:rPr>
                <w:sz w:val="20"/>
              </w:rPr>
              <w:t>Annual.</w:t>
            </w:r>
          </w:p>
        </w:tc>
      </w:tr>
    </w:tbl>
    <w:p>
      <w:pPr>
        <w:spacing w:after="80"/>
      </w:pPr>
    </w:p>
    <w:p>
      <w:pPr>
        <w:spacing w:before="400" w:after="120"/>
      </w:pPr>
      <w:r>
        <w:rPr>
          <w:b/>
          <w:sz w:val="30"/>
        </w:rPr>
        <w:t>13. Incident Reporting</w:t>
      </w:r>
    </w:p>
    <w:p>
      <w:pPr>
        <w:spacing w:after="120"/>
      </w:pPr>
      <w:r>
        <w:rPr>
          <w:b w:val="0"/>
          <w:i w:val="0"/>
        </w:rPr>
        <w:t>An "AI Incident" includes any of the following:</w:t>
      </w:r>
    </w:p>
    <w:p>
      <w:pPr>
        <w:pStyle w:val="ListBullet"/>
        <w:spacing w:after="80"/>
      </w:pPr>
      <w:r>
        <w:t>Inadvertent input of Client Confidential Information into a prohibited tool.</w:t>
      </w:r>
    </w:p>
    <w:p>
      <w:pPr>
        <w:pStyle w:val="ListBullet"/>
        <w:spacing w:after="80"/>
      </w:pPr>
      <w:r>
        <w:t>Discovery, in a filed document or document delivered to a client, of a fabricated citation, fabricated quotation, or factual assertion derived from AI without verification.</w:t>
      </w:r>
    </w:p>
    <w:p>
      <w:pPr>
        <w:pStyle w:val="ListBullet"/>
        <w:spacing w:after="80"/>
      </w:pPr>
      <w:r>
        <w:t>Discovery that an associate, paralegal, or staff member has been using AI in violation of this Policy.</w:t>
      </w:r>
    </w:p>
    <w:p>
      <w:pPr>
        <w:pStyle w:val="ListBullet"/>
        <w:spacing w:after="80"/>
      </w:pPr>
      <w:r>
        <w:t>Vendor notification of a security incident, data breach, or unauthorized access affecting an approved AI tool.</w:t>
      </w:r>
    </w:p>
    <w:p>
      <w:pPr>
        <w:pStyle w:val="ListBullet"/>
        <w:spacing w:after="80"/>
      </w:pPr>
      <w:r>
        <w:t>Notification from a court, opposing counsel, or a client of suspected AI-generated material in Firm work product.</w:t>
      </w:r>
    </w:p>
    <w:p>
      <w:pPr>
        <w:spacing w:after="120"/>
      </w:pPr>
      <w:r>
        <w:t xml:space="preserve">Any AI Incident must be reported to the Firm's General Counsel and to the AI Steering Committee within </w:t>
      </w:r>
      <w:r>
        <w:rPr>
          <w:b/>
        </w:rPr>
        <w:t>24 hours</w:t>
      </w:r>
      <w:r>
        <w:t xml:space="preserve"> of discovery, regardless of whether the user believes the incident is material. Failure to report promptly is itself a violation of this Policy.</w:t>
      </w:r>
    </w:p>
    <w:p>
      <w:pPr>
        <w:spacing w:before="240" w:after="120"/>
      </w:pPr>
      <w:r>
        <w:rPr>
          <w:b/>
          <w:sz w:val="25"/>
        </w:rPr>
        <w:t>Containment protocol (first hour)</w:t>
      </w:r>
    </w:p>
    <w:p>
      <w:pPr>
        <w:pStyle w:val="ListNumber"/>
        <w:spacing w:after="80"/>
      </w:pPr>
      <w:r>
        <w:t>Stop the offending use immediately.</w:t>
      </w:r>
    </w:p>
    <w:p>
      <w:pPr>
        <w:pStyle w:val="ListNumber"/>
        <w:spacing w:after="80"/>
      </w:pPr>
      <w:r>
        <w:t>Preserve all evidence: the prompt, the Output, the file as it stood at time of submission, browser history, account logs.</w:t>
      </w:r>
    </w:p>
    <w:p>
      <w:pPr>
        <w:pStyle w:val="ListNumber"/>
        <w:spacing w:after="80"/>
      </w:pPr>
      <w:r>
        <w:t>Do not delete, edit, or "clean up" any artifact. Spoliation aggravates every kind of sanctions analysis.</w:t>
      </w:r>
    </w:p>
    <w:p>
      <w:pPr>
        <w:pStyle w:val="ListNumber"/>
        <w:spacing w:after="80"/>
      </w:pPr>
      <w:r>
        <w:t>Notify General Counsel by phone (not email).</w:t>
      </w:r>
    </w:p>
    <w:p>
      <w:pPr>
        <w:pStyle w:val="ListNumber"/>
        <w:spacing w:after="80"/>
      </w:pPr>
      <w:r>
        <w:t>If a court filing is implicated, draft a Rule 11 corrective notice for review by General Counsel within 24 hours.</w:t>
      </w:r>
    </w:p>
    <w:p>
      <w:pPr>
        <w:pStyle w:val="ListNumber"/>
        <w:spacing w:after="80"/>
      </w:pPr>
      <w:r>
        <w:t>If a client may have been delivered AI-generated material in violation of this Policy, do not communicate further with the client about the matter until General Counsel has approved a disclosure plan.</w:t>
      </w:r>
    </w:p>
    <w:p>
      <w:pPr>
        <w:spacing w:before="400" w:after="120"/>
      </w:pPr>
      <w:r>
        <w:rPr>
          <w:b/>
          <w:sz w:val="30"/>
        </w:rPr>
        <w:t>14. Audit Trail &amp; Record-keeping</w:t>
      </w:r>
    </w:p>
    <w:p>
      <w:pPr>
        <w:spacing w:after="120"/>
      </w:pPr>
      <w:r>
        <w:rPr>
          <w:b w:val="0"/>
          <w:i w:val="0"/>
        </w:rPr>
        <w:t>For every AI use on a client matter (D-3 or D-4), the user must create an entry in the Firm's AI audit log. Use the matter management system field labeled [FIELD_NAME] or, if unavailable, the standalone audit-log template at [INTERNAL_URL].</w:t>
      </w:r>
    </w:p>
    <w:p>
      <w:pPr>
        <w:spacing w:after="120"/>
      </w:pPr>
      <w:r>
        <w:rPr>
          <w:b w:val="0"/>
          <w:i w:val="0"/>
        </w:rPr>
        <w:t>Each entry must include:</w:t>
      </w:r>
    </w:p>
    <w:p>
      <w:pPr>
        <w:pStyle w:val="ListNumber"/>
        <w:spacing w:after="80"/>
      </w:pPr>
      <w:r>
        <w:t>Date and time (ISO 8601, including time zone).</w:t>
      </w:r>
    </w:p>
    <w:p>
      <w:pPr>
        <w:pStyle w:val="ListNumber"/>
        <w:spacing w:after="80"/>
      </w:pPr>
      <w:r>
        <w:t>User (timekeeper ID).</w:t>
      </w:r>
    </w:p>
    <w:p>
      <w:pPr>
        <w:pStyle w:val="ListNumber"/>
        <w:spacing w:after="80"/>
      </w:pPr>
      <w:r>
        <w:t>Matter ID.</w:t>
      </w:r>
    </w:p>
    <w:p>
      <w:pPr>
        <w:pStyle w:val="ListNumber"/>
        <w:spacing w:after="80"/>
      </w:pPr>
      <w:r>
        <w:t>AI tool name and Tier classification.</w:t>
      </w:r>
    </w:p>
    <w:p>
      <w:pPr>
        <w:pStyle w:val="ListNumber"/>
        <w:spacing w:after="80"/>
      </w:pPr>
      <w:r>
        <w:t>Data class submitted (D-1 / D-2 / D-3 / D-4).</w:t>
      </w:r>
    </w:p>
    <w:p>
      <w:pPr>
        <w:pStyle w:val="ListNumber"/>
        <w:spacing w:after="80"/>
      </w:pPr>
      <w:r>
        <w:t>Whether identifying information was pseudonymized (Y/N).</w:t>
      </w:r>
    </w:p>
    <w:p>
      <w:pPr>
        <w:pStyle w:val="ListNumber"/>
        <w:spacing w:after="80"/>
      </w:pPr>
      <w:r>
        <w:t>General description of the task (one line — not the prompt text).</w:t>
      </w:r>
    </w:p>
    <w:p>
      <w:pPr>
        <w:pStyle w:val="ListNumber"/>
        <w:spacing w:after="80"/>
      </w:pPr>
      <w:r>
        <w:t>Verification steps completed (Step 01 / 02 / 03 / 04 of Section 8).</w:t>
      </w:r>
    </w:p>
    <w:p>
      <w:pPr>
        <w:pStyle w:val="ListNumber"/>
        <w:spacing w:after="80"/>
      </w:pPr>
      <w:r>
        <w:t>Whether Output was used in a client deliverable, court filing, or internal-only.</w:t>
      </w:r>
    </w:p>
    <w:p>
      <w:pPr>
        <w:spacing w:after="120"/>
      </w:pPr>
      <w:r>
        <w:rPr>
          <w:b w:val="0"/>
          <w:i w:val="0"/>
        </w:rPr>
        <w:t>The audit log is retained for the longer of (i) seven years from the date of the entry, (ii) the period of any applicable client document-retention obligation, or (iii) the limitations period for any cause of action arising out of the matter.</w:t>
      </w:r>
    </w:p>
    <w:p>
      <w:pPr>
        <w:spacing w:before="400" w:after="120"/>
      </w:pPr>
      <w:r>
        <w:rPr>
          <w:b/>
          <w:sz w:val="30"/>
        </w:rPr>
        <w:t>15. Billing &amp; Fees (Rule 1.5)</w:t>
      </w:r>
    </w:p>
    <w:p>
      <w:pPr>
        <w:spacing w:after="120"/>
      </w:pPr>
      <w:r>
        <w:rPr>
          <w:b w:val="0"/>
          <w:i w:val="0"/>
        </w:rPr>
        <w:t>Per ABA Op. 512 §§ 65-79 and the State Bar of California Practical Guidance (Nov. 2024):</w:t>
      </w:r>
    </w:p>
    <w:p>
      <w:pPr>
        <w:pStyle w:val="ListNumber"/>
        <w:spacing w:after="80"/>
      </w:pPr>
      <w:r>
        <w:t>Lawyers may not bill a client for time saved by AI use. If a task that would have taken 4 hours takes 30 minutes due to AI assistance, the bill reflects 30 minutes plus reasonable verification time.</w:t>
      </w:r>
    </w:p>
    <w:p>
      <w:pPr>
        <w:pStyle w:val="ListNumber"/>
        <w:spacing w:after="80"/>
      </w:pPr>
      <w:r>
        <w:t>Lawyers may not bill a client for time spent learning how to use an AI tool, except where the learning is matter-specific.</w:t>
      </w:r>
    </w:p>
    <w:p>
      <w:pPr>
        <w:pStyle w:val="ListNumber"/>
        <w:spacing w:after="80"/>
      </w:pPr>
      <w:r>
        <w:t>Lawyers may charge the actual, documented cost of a matter-specific AI service as a disbursement, after disclosure to the client. The cost of general-purpose AI tools used across many matters is overhead.</w:t>
      </w:r>
    </w:p>
    <w:p>
      <w:pPr>
        <w:pStyle w:val="ListNumber"/>
        <w:spacing w:after="80"/>
      </w:pPr>
      <w:r>
        <w:t>Where the Firm uses a flat fee or contingent fee, AI efficiency does not reduce the fee, but the lawyer must be able to demonstrate that the fee remains reasonable in light of the actual time and effort expended.</w:t>
      </w:r>
    </w:p>
    <w:p>
      <w:pPr>
        <w:spacing w:before="400" w:after="120"/>
      </w:pPr>
      <w:r>
        <w:rPr>
          <w:b/>
          <w:sz w:val="30"/>
        </w:rPr>
        <w:t>16. Policy Review &amp; Revision</w:t>
      </w:r>
    </w:p>
    <w:p>
      <w:pPr>
        <w:spacing w:before="240" w:after="120"/>
      </w:pPr>
      <w:r>
        <w:rPr>
          <w:b/>
          <w:sz w:val="25"/>
        </w:rPr>
        <w:t>AI Steering Committee</w:t>
      </w:r>
    </w:p>
    <w:p>
      <w:pPr>
        <w:spacing w:after="120"/>
      </w:pPr>
      <w:r>
        <w:rPr>
          <w:b w:val="0"/>
          <w:i w:val="0"/>
        </w:rPr>
        <w:t>The Firm's AI Steering Committee comprises: [NAMES OR ROLES] — at minimum, one Managing Partner, the Director of IT (or equivalent), the Firm's General Counsel (or ethics counsel), and one practice-group leader. The Committee meets quarterly.</w:t>
      </w:r>
    </w:p>
    <w:p>
      <w:pPr>
        <w:spacing w:before="240" w:after="120"/>
      </w:pPr>
      <w:r>
        <w:rPr>
          <w:b/>
          <w:sz w:val="25"/>
        </w:rPr>
        <w:t>Quarterly review</w:t>
      </w:r>
    </w:p>
    <w:p>
      <w:pPr>
        <w:pStyle w:val="ListBullet"/>
        <w:spacing w:after="80"/>
      </w:pPr>
      <w:r>
        <w:t>Q1: Review and update the Approved Vendor Register. Survey staff on Shadow AI use.</w:t>
      </w:r>
    </w:p>
    <w:p>
      <w:pPr>
        <w:pStyle w:val="ListBullet"/>
        <w:spacing w:after="80"/>
      </w:pPr>
      <w:r>
        <w:t>Q2: Review new state-bar opinions and federal court standing orders. Update Sections 9 and 10 as needed.</w:t>
      </w:r>
    </w:p>
    <w:p>
      <w:pPr>
        <w:pStyle w:val="ListBullet"/>
        <w:spacing w:after="80"/>
      </w:pPr>
      <w:r>
        <w:t>Q3: Sample 3% of AI-assisted work product. Audit verification documentation. Report findings to all partners.</w:t>
      </w:r>
    </w:p>
    <w:p>
      <w:pPr>
        <w:pStyle w:val="ListBullet"/>
        <w:spacing w:after="80"/>
      </w:pPr>
      <w:r>
        <w:t>Q4: Annual policy refresh. Incorporate the year's lessons. Roll out updated training.</w:t>
      </w:r>
    </w:p>
    <w:p>
      <w:pPr>
        <w:spacing w:before="240" w:after="120"/>
      </w:pPr>
      <w:r>
        <w:rPr>
          <w:b/>
          <w:sz w:val="25"/>
        </w:rPr>
        <w:t>Emergency revision triggers</w:t>
      </w:r>
    </w:p>
    <w:p>
      <w:pPr>
        <w:spacing w:after="120"/>
      </w:pPr>
      <w:r>
        <w:rPr>
          <w:b w:val="0"/>
          <w:i w:val="0"/>
        </w:rPr>
        <w:t>The Policy is revised between quarterly cycles upon: (i) issuance of a new ABA Formal Opinion on AI; (ii) issuance of an AI ethics opinion by the Firm's primary state bar(s); (iii) a new federal court standing order in a court the Firm regularly practices in; (iv) any AI Incident at the Firm; (v) any reported sanction in this Circuit involving AI; (vi) any material change in the TOS or DPA of an Approved Vendor.</w:t>
      </w:r>
    </w:p>
    <w:p>
      <w:pPr>
        <w:spacing w:before="400" w:after="120"/>
      </w:pPr>
      <w:r>
        <w:rPr>
          <w:b/>
          <w:sz w:val="30"/>
        </w:rPr>
        <w:t>17. Acknowledgment Form</w:t>
      </w:r>
    </w:p>
    <w:p>
      <w:pPr>
        <w:spacing w:before="160" w:after="40"/>
        <w:ind w:left="360"/>
      </w:pPr>
      <w:r>
        <w:rPr>
          <w:b/>
          <w:color w:val="C03F00"/>
          <w:sz w:val="18"/>
        </w:rPr>
        <w:t>Employee Acknowledgment</w:t>
      </w:r>
    </w:p>
    <w:p>
      <w:pPr>
        <w:spacing w:after="200"/>
        <w:ind w:left="360"/>
      </w:pPr>
      <w:r>
        <w:rPr>
          <w:i/>
          <w:sz w:val="21"/>
        </w:rPr>
        <w:t>I, [NAME], in my capacity as [ROLE] at [FIRM], acknowledge that I have received, read, and understood the Firm's Law Firm AI Use Policy (Version [X.Y], dated [DATE]).</w:t>
        <w:br/>
        <w:br/>
        <w:t>I understand that:</w:t>
        <w:br/>
        <w:t>• I may use generative AI tools only in compliance with this Policy.</w:t>
        <w:br/>
        <w:t>• I am personally responsible for any AI-generated content I include in any work product, court filing, or client deliverable that I sign or transmit.</w:t>
        <w:br/>
        <w:t>• I will complete the required AI training before using any AI tool on Firm work.</w:t>
        <w:br/>
        <w:t>• I will report any AI Incident to the Firm's General Counsel within 24 hours of discovery.</w:t>
        <w:br/>
        <w:t>• I will not use any AI tool not listed in the Firm's Approved Vendor Register on any data classification above D-1.</w:t>
        <w:br/>
        <w:t>• Violation of this Policy may subject me to discipline up to and including termination, and may subject me to professional discipline by the relevant Bar authority.</w:t>
        <w:br/>
        <w:br/>
        <w:t>Signature: _________________________  Date: _____________</w:t>
      </w:r>
    </w:p>
    <w:p>
      <w:pPr>
        <w:spacing w:before="400" w:after="120"/>
      </w:pPr>
      <w:r>
        <w:rPr>
          <w:b/>
          <w:sz w:val="30"/>
        </w:rPr>
        <w:t>Appendix A — ABA Op. 512 Quick Reference</w:t>
      </w:r>
    </w:p>
    <w:p>
      <w:pPr>
        <w:spacing w:after="120"/>
      </w:pPr>
      <w:r>
        <w:rPr>
          <w:b w:val="0"/>
          <w:i w:val="0"/>
        </w:rPr>
        <w:t>The American Bar Association Standing Committee on Ethics and Professional Responsibility issued Formal Opinion 512 on July 29, 2024 — its first ethics opinion specifically addressing generative AI in legal practice. Key holdings:</w:t>
      </w:r>
    </w:p>
    <w:tbl>
      <w:tblPr>
        <w:tblStyle w:val="LightGrid-Accent1"/>
        <w:tblW w:type="auto" w:w="0"/>
        <w:jc w:val="left"/>
        <w:tblLook w:firstColumn="1" w:firstRow="1" w:lastColumn="0" w:lastRow="0" w:noHBand="0" w:noVBand="1" w:val="04A0"/>
      </w:tblPr>
      <w:tblGrid>
        <w:gridCol w:w="3024"/>
        <w:gridCol w:w="3024"/>
        <w:gridCol w:w="3024"/>
      </w:tblGrid>
      <w:tr>
        <w:tc>
          <w:tcPr>
            <w:tcW w:type="dxa" w:w="3024"/>
            <w:shd w:val="clear" w:color="auto" w:fill="0A0A0A"/>
          </w:tcPr>
          <w:p>
            <w:r/>
            <w:r>
              <w:rPr>
                <w:b/>
                <w:color w:val="FFFFFF"/>
                <w:sz w:val="20"/>
              </w:rPr>
              <w:t>Rule</w:t>
            </w:r>
          </w:p>
        </w:tc>
        <w:tc>
          <w:tcPr>
            <w:tcW w:type="dxa" w:w="3024"/>
            <w:shd w:val="clear" w:color="auto" w:fill="0A0A0A"/>
          </w:tcPr>
          <w:p>
            <w:r/>
            <w:r>
              <w:rPr>
                <w:b/>
                <w:color w:val="FFFFFF"/>
                <w:sz w:val="20"/>
              </w:rPr>
              <w:t>Holding</w:t>
            </w:r>
          </w:p>
        </w:tc>
        <w:tc>
          <w:tcPr>
            <w:tcW w:type="dxa" w:w="3024"/>
            <w:shd w:val="clear" w:color="auto" w:fill="0A0A0A"/>
          </w:tcPr>
          <w:p>
            <w:r/>
            <w:r>
              <w:rPr>
                <w:b/>
                <w:color w:val="FFFFFF"/>
                <w:sz w:val="20"/>
              </w:rPr>
              <w:t>Citation</w:t>
            </w:r>
          </w:p>
        </w:tc>
      </w:tr>
      <w:tr>
        <w:tc>
          <w:tcPr>
            <w:tcW w:type="dxa" w:w="3024"/>
          </w:tcPr>
          <w:p>
            <w:r/>
            <w:r>
              <w:rPr>
                <w:sz w:val="20"/>
              </w:rPr>
              <w:t>1.1 Competence</w:t>
            </w:r>
          </w:p>
        </w:tc>
        <w:tc>
          <w:tcPr>
            <w:tcW w:type="dxa" w:w="3024"/>
          </w:tcPr>
          <w:p>
            <w:r/>
            <w:r>
              <w:rPr>
                <w:sz w:val="20"/>
              </w:rPr>
              <w:t>Lawyers must have a reasonable understanding of the capabilities and limitations of GAI tools they use. Need not be experts; must remain vigilant as tools evolve.</w:t>
            </w:r>
          </w:p>
        </w:tc>
        <w:tc>
          <w:tcPr>
            <w:tcW w:type="dxa" w:w="3024"/>
          </w:tcPr>
          <w:p>
            <w:r/>
            <w:r>
              <w:rPr>
                <w:sz w:val="20"/>
              </w:rPr>
              <w:t>Op. 512 §§ 7-15</w:t>
            </w:r>
          </w:p>
        </w:tc>
      </w:tr>
      <w:tr>
        <w:tc>
          <w:tcPr>
            <w:tcW w:type="dxa" w:w="3024"/>
          </w:tcPr>
          <w:p>
            <w:r/>
            <w:r>
              <w:rPr>
                <w:sz w:val="20"/>
              </w:rPr>
              <w:t>1.6 Confidentiality</w:t>
            </w:r>
          </w:p>
        </w:tc>
        <w:tc>
          <w:tcPr>
            <w:tcW w:type="dxa" w:w="3024"/>
          </w:tcPr>
          <w:p>
            <w:r/>
            <w:r>
              <w:rPr>
                <w:sz w:val="20"/>
              </w:rPr>
              <w:t>Before inputting client information into a GAI tool, lawyers must evaluate the risks of disclosure or unauthorized access. Includes risks from vendor personnel, other customers, model training, and security breaches.</w:t>
            </w:r>
          </w:p>
        </w:tc>
        <w:tc>
          <w:tcPr>
            <w:tcW w:type="dxa" w:w="3024"/>
          </w:tcPr>
          <w:p>
            <w:r/>
            <w:r>
              <w:rPr>
                <w:sz w:val="20"/>
              </w:rPr>
              <w:t>Op. 512 §§ 19-29</w:t>
            </w:r>
          </w:p>
        </w:tc>
      </w:tr>
      <w:tr>
        <w:tc>
          <w:tcPr>
            <w:tcW w:type="dxa" w:w="3024"/>
          </w:tcPr>
          <w:p>
            <w:r/>
            <w:r>
              <w:rPr>
                <w:sz w:val="20"/>
              </w:rPr>
              <w:t>1.4 Communication</w:t>
            </w:r>
          </w:p>
        </w:tc>
        <w:tc>
          <w:tcPr>
            <w:tcW w:type="dxa" w:w="3024"/>
          </w:tcPr>
          <w:p>
            <w:r/>
            <w:r>
              <w:rPr>
                <w:sz w:val="20"/>
              </w:rPr>
              <w:t>Where AI use is material, informed consent is required. Boilerplate engagement-letter consent is insufficient.</w:t>
            </w:r>
          </w:p>
        </w:tc>
        <w:tc>
          <w:tcPr>
            <w:tcW w:type="dxa" w:w="3024"/>
          </w:tcPr>
          <w:p>
            <w:r/>
            <w:r>
              <w:rPr>
                <w:sz w:val="20"/>
              </w:rPr>
              <w:t>Op. 512 §§ 30-44</w:t>
            </w:r>
          </w:p>
        </w:tc>
      </w:tr>
      <w:tr>
        <w:tc>
          <w:tcPr>
            <w:tcW w:type="dxa" w:w="3024"/>
          </w:tcPr>
          <w:p>
            <w:r/>
            <w:r>
              <w:rPr>
                <w:sz w:val="20"/>
              </w:rPr>
              <w:t>3.3 Candor to Tribunal</w:t>
            </w:r>
          </w:p>
        </w:tc>
        <w:tc>
          <w:tcPr>
            <w:tcW w:type="dxa" w:w="3024"/>
          </w:tcPr>
          <w:p>
            <w:r/>
            <w:r>
              <w:rPr>
                <w:sz w:val="20"/>
              </w:rPr>
              <w:t>Lawyers must verify GAI output before submitting to a court. Hallucinated citations are sanctionable under Rule 11.</w:t>
            </w:r>
          </w:p>
        </w:tc>
        <w:tc>
          <w:tcPr>
            <w:tcW w:type="dxa" w:w="3024"/>
          </w:tcPr>
          <w:p>
            <w:r/>
            <w:r>
              <w:rPr>
                <w:sz w:val="20"/>
              </w:rPr>
              <w:t>Op. 512 §§ 45-49</w:t>
            </w:r>
          </w:p>
        </w:tc>
      </w:tr>
      <w:tr>
        <w:tc>
          <w:tcPr>
            <w:tcW w:type="dxa" w:w="3024"/>
          </w:tcPr>
          <w:p>
            <w:r/>
            <w:r>
              <w:rPr>
                <w:sz w:val="20"/>
              </w:rPr>
              <w:t>5.1 / 5.3 Supervision</w:t>
            </w:r>
          </w:p>
        </w:tc>
        <w:tc>
          <w:tcPr>
            <w:tcW w:type="dxa" w:w="3024"/>
          </w:tcPr>
          <w:p>
            <w:r/>
            <w:r>
              <w:rPr>
                <w:sz w:val="20"/>
              </w:rPr>
              <w:t>Partners and supervisors are responsible for AI use by associates, paralegals, and contract personnel — and for the conduct of vendor AI tools as non-lawyer assistants.</w:t>
            </w:r>
          </w:p>
        </w:tc>
        <w:tc>
          <w:tcPr>
            <w:tcW w:type="dxa" w:w="3024"/>
          </w:tcPr>
          <w:p>
            <w:r/>
            <w:r>
              <w:rPr>
                <w:sz w:val="20"/>
              </w:rPr>
              <w:t>Op. 512 §§ 50-58</w:t>
            </w:r>
          </w:p>
        </w:tc>
      </w:tr>
      <w:tr>
        <w:tc>
          <w:tcPr>
            <w:tcW w:type="dxa" w:w="3024"/>
          </w:tcPr>
          <w:p>
            <w:r/>
            <w:r>
              <w:rPr>
                <w:sz w:val="20"/>
              </w:rPr>
              <w:t>1.5 Fees</w:t>
            </w:r>
          </w:p>
        </w:tc>
        <w:tc>
          <w:tcPr>
            <w:tcW w:type="dxa" w:w="3024"/>
          </w:tcPr>
          <w:p>
            <w:r/>
            <w:r>
              <w:rPr>
                <w:sz w:val="20"/>
              </w:rPr>
              <w:t>May not bill for time saved by AI. May not bill for time learning AI (limited matter-specific exceptions). Pass-through costs require advance disclosure.</w:t>
            </w:r>
          </w:p>
        </w:tc>
        <w:tc>
          <w:tcPr>
            <w:tcW w:type="dxa" w:w="3024"/>
          </w:tcPr>
          <w:p>
            <w:r/>
            <w:r>
              <w:rPr>
                <w:sz w:val="20"/>
              </w:rPr>
              <w:t>Op. 512 §§ 65-79</w:t>
            </w:r>
          </w:p>
        </w:tc>
      </w:tr>
    </w:tbl>
    <w:p>
      <w:pPr>
        <w:spacing w:after="80"/>
      </w:pPr>
    </w:p>
    <w:p>
      <w:pPr>
        <w:spacing w:before="400" w:after="120"/>
      </w:pPr>
      <w:r>
        <w:rPr>
          <w:b/>
          <w:sz w:val="30"/>
        </w:rPr>
        <w:t>Appendix B — State Opinion Crosswalk</w:t>
      </w:r>
    </w:p>
    <w:p>
      <w:pPr>
        <w:spacing w:after="120"/>
      </w:pPr>
      <w:r>
        <w:rPr>
          <w:b w:val="0"/>
          <w:i w:val="0"/>
        </w:rPr>
        <w:t>Selected state-bar guidance current as of April 2026. This crosswalk is informational only — verify against the current guidance of your state bar before relying on it.</w:t>
      </w:r>
    </w:p>
    <w:tbl>
      <w:tblPr>
        <w:tblStyle w:val="LightGrid-Accent1"/>
        <w:tblW w:type="auto" w:w="0"/>
        <w:jc w:val="left"/>
        <w:tblLook w:firstColumn="1" w:firstRow="1" w:lastColumn="0" w:lastRow="0" w:noHBand="0" w:noVBand="1" w:val="04A0"/>
      </w:tblPr>
      <w:tblGrid>
        <w:gridCol w:w="3024"/>
        <w:gridCol w:w="3024"/>
        <w:gridCol w:w="3024"/>
      </w:tblGrid>
      <w:tr>
        <w:tc>
          <w:tcPr>
            <w:tcW w:type="dxa" w:w="3024"/>
            <w:shd w:val="clear" w:color="auto" w:fill="0A0A0A"/>
          </w:tcPr>
          <w:p>
            <w:r/>
            <w:r>
              <w:rPr>
                <w:b/>
                <w:color w:val="FFFFFF"/>
                <w:sz w:val="20"/>
              </w:rPr>
              <w:t>State</w:t>
            </w:r>
          </w:p>
        </w:tc>
        <w:tc>
          <w:tcPr>
            <w:tcW w:type="dxa" w:w="3024"/>
            <w:shd w:val="clear" w:color="auto" w:fill="0A0A0A"/>
          </w:tcPr>
          <w:p>
            <w:r/>
            <w:r>
              <w:rPr>
                <w:b/>
                <w:color w:val="FFFFFF"/>
                <w:sz w:val="20"/>
              </w:rPr>
              <w:t>Key authority</w:t>
            </w:r>
          </w:p>
        </w:tc>
        <w:tc>
          <w:tcPr>
            <w:tcW w:type="dxa" w:w="3024"/>
            <w:shd w:val="clear" w:color="auto" w:fill="0A0A0A"/>
          </w:tcPr>
          <w:p>
            <w:r/>
            <w:r>
              <w:rPr>
                <w:b/>
                <w:color w:val="FFFFFF"/>
                <w:sz w:val="20"/>
              </w:rPr>
              <w:t>Distinct features</w:t>
            </w:r>
          </w:p>
        </w:tc>
      </w:tr>
      <w:tr>
        <w:tc>
          <w:tcPr>
            <w:tcW w:type="dxa" w:w="3024"/>
          </w:tcPr>
          <w:p>
            <w:r/>
            <w:r>
              <w:rPr>
                <w:sz w:val="20"/>
              </w:rPr>
              <w:t>California</w:t>
            </w:r>
          </w:p>
        </w:tc>
        <w:tc>
          <w:tcPr>
            <w:tcW w:type="dxa" w:w="3024"/>
          </w:tcPr>
          <w:p>
            <w:r/>
            <w:r>
              <w:rPr>
                <w:sz w:val="20"/>
              </w:rPr>
              <w:t>Practical Guidance for the Use of Generative AI in the Practice of Law (Nov. 2024)</w:t>
            </w:r>
          </w:p>
        </w:tc>
        <w:tc>
          <w:tcPr>
            <w:tcW w:type="dxa" w:w="3024"/>
          </w:tcPr>
          <w:p>
            <w:r/>
            <w:r>
              <w:rPr>
                <w:sz w:val="20"/>
              </w:rPr>
              <w:t>Most detailed framework in the country. Treats vendor TOS evaluation as a Rule 1.6 obligation. Explicitly addresses prompt injection. Recommends 'vetted list of approved AI tools.' Imposes specific scrutiny on hourly billing models when AI reduces task time by 70-90%.</w:t>
            </w:r>
          </w:p>
        </w:tc>
      </w:tr>
      <w:tr>
        <w:tc>
          <w:tcPr>
            <w:tcW w:type="dxa" w:w="3024"/>
          </w:tcPr>
          <w:p>
            <w:r/>
            <w:r>
              <w:rPr>
                <w:sz w:val="20"/>
              </w:rPr>
              <w:t>Florida</w:t>
            </w:r>
          </w:p>
        </w:tc>
        <w:tc>
          <w:tcPr>
            <w:tcW w:type="dxa" w:w="3024"/>
          </w:tcPr>
          <w:p>
            <w:r/>
            <w:r>
              <w:rPr>
                <w:sz w:val="20"/>
              </w:rPr>
              <w:t>Florida Bar Ethics Opinion 24-1 (Jan. 19, 2024)</w:t>
            </w:r>
          </w:p>
        </w:tc>
        <w:tc>
          <w:tcPr>
            <w:tcW w:type="dxa" w:w="3024"/>
          </w:tcPr>
          <w:p>
            <w:r/>
            <w:r>
              <w:rPr>
                <w:sz w:val="20"/>
              </w:rPr>
              <w:t>First major state-bar opinion. Four-pillar framework: confidentiality, oversight, fees, advertising. Treats AI as 'non-lawyer assistance' under Rule 5.3. Requires disclosure when AI chatbots interact with prospective clients.</w:t>
            </w:r>
          </w:p>
        </w:tc>
      </w:tr>
      <w:tr>
        <w:tc>
          <w:tcPr>
            <w:tcW w:type="dxa" w:w="3024"/>
          </w:tcPr>
          <w:p>
            <w:r/>
            <w:r>
              <w:rPr>
                <w:sz w:val="20"/>
              </w:rPr>
              <w:t>New York</w:t>
            </w:r>
          </w:p>
        </w:tc>
        <w:tc>
          <w:tcPr>
            <w:tcW w:type="dxa" w:w="3024"/>
          </w:tcPr>
          <w:p>
            <w:r/>
            <w:r>
              <w:rPr>
                <w:sz w:val="20"/>
              </w:rPr>
              <w:t>NYSBA Task Force Report on AI (April 2024); NY State Bar Op. 1240 (Aug. 2024)</w:t>
            </w:r>
          </w:p>
        </w:tc>
        <w:tc>
          <w:tcPr>
            <w:tcW w:type="dxa" w:w="3024"/>
          </w:tcPr>
          <w:p>
            <w:r/>
            <w:r>
              <w:rPr>
                <w:sz w:val="20"/>
              </w:rPr>
              <w:t>Permits AI under existing rules without new regulation. Emphasizes 'supervisory' duty under Rule 5.3 over disclosure. Cites Park v. Kim (2d Cir. 2024).</w:t>
            </w:r>
          </w:p>
        </w:tc>
      </w:tr>
      <w:tr>
        <w:tc>
          <w:tcPr>
            <w:tcW w:type="dxa" w:w="3024"/>
          </w:tcPr>
          <w:p>
            <w:r/>
            <w:r>
              <w:rPr>
                <w:sz w:val="20"/>
              </w:rPr>
              <w:t>Texas</w:t>
            </w:r>
          </w:p>
        </w:tc>
        <w:tc>
          <w:tcPr>
            <w:tcW w:type="dxa" w:w="3024"/>
          </w:tcPr>
          <w:p>
            <w:r/>
            <w:r>
              <w:rPr>
                <w:sz w:val="20"/>
              </w:rPr>
              <w:t>Texas Committee on Professional Ethics Opinion 705 (Feb. 2025)</w:t>
            </w:r>
          </w:p>
        </w:tc>
        <w:tc>
          <w:tcPr>
            <w:tcW w:type="dxa" w:w="3024"/>
          </w:tcPr>
          <w:p>
            <w:r/>
            <w:r>
              <w:rPr>
                <w:sz w:val="20"/>
              </w:rPr>
              <w:t>'Reasonable and current understanding' of the technology. No hourly fees for AI-saved time. Verification of every assertion derived from AI. Lawyer is responsible regardless of who or what does the original research.</w:t>
            </w:r>
          </w:p>
        </w:tc>
      </w:tr>
    </w:tbl>
    <w:p>
      <w:pPr>
        <w:spacing w:after="80"/>
      </w:pPr>
    </w:p>
    <w:p>
      <w:pPr>
        <w:spacing w:before="400" w:after="120"/>
      </w:pPr>
      <w:r>
        <w:rPr>
          <w:b/>
          <w:sz w:val="30"/>
        </w:rPr>
        <w:t>Appendix C — 2025–2026 Sanctions Ledger (Selected)</w:t>
      </w:r>
    </w:p>
    <w:p>
      <w:pPr>
        <w:spacing w:after="120"/>
      </w:pPr>
      <w:r>
        <w:rPr>
          <w:b w:val="0"/>
          <w:i w:val="0"/>
        </w:rPr>
        <w:t>Selected sanctions and discipline involving AI hallucinations in court filings. Drawn from the Damien Charlotin AI Hallucination Cases Database (1,294+ cases as of March 2026), Bloomberg Law, ABA Journal, and direct review of the cited orders. This list is illustrative — not exhaustive.</w:t>
      </w:r>
    </w:p>
    <w:tbl>
      <w:tblPr>
        <w:tblStyle w:val="LightGrid-Accent1"/>
        <w:tblW w:type="auto" w:w="0"/>
        <w:jc w:val="left"/>
        <w:tblLook w:firstColumn="1" w:firstRow="1" w:lastColumn="0" w:lastRow="0" w:noHBand="0" w:noVBand="1" w:val="04A0"/>
      </w:tblPr>
      <w:tblGrid>
        <w:gridCol w:w="1814"/>
        <w:gridCol w:w="1814"/>
        <w:gridCol w:w="1814"/>
        <w:gridCol w:w="1814"/>
        <w:gridCol w:w="1814"/>
      </w:tblGrid>
      <w:tr>
        <w:tc>
          <w:tcPr>
            <w:tcW w:type="dxa" w:w="1814"/>
            <w:shd w:val="clear" w:color="auto" w:fill="0A0A0A"/>
          </w:tcPr>
          <w:p>
            <w:r/>
            <w:r>
              <w:rPr>
                <w:b/>
                <w:color w:val="FFFFFF"/>
                <w:sz w:val="20"/>
              </w:rPr>
              <w:t>Date</w:t>
            </w:r>
          </w:p>
        </w:tc>
        <w:tc>
          <w:tcPr>
            <w:tcW w:type="dxa" w:w="1814"/>
            <w:shd w:val="clear" w:color="auto" w:fill="0A0A0A"/>
          </w:tcPr>
          <w:p>
            <w:r/>
            <w:r>
              <w:rPr>
                <w:b/>
                <w:color w:val="FFFFFF"/>
                <w:sz w:val="20"/>
              </w:rPr>
              <w:t>Case &amp; Court</w:t>
            </w:r>
          </w:p>
        </w:tc>
        <w:tc>
          <w:tcPr>
            <w:tcW w:type="dxa" w:w="1814"/>
            <w:shd w:val="clear" w:color="auto" w:fill="0A0A0A"/>
          </w:tcPr>
          <w:p>
            <w:r/>
            <w:r>
              <w:rPr>
                <w:b/>
                <w:color w:val="FFFFFF"/>
                <w:sz w:val="20"/>
              </w:rPr>
              <w:t>Tool</w:t>
            </w:r>
          </w:p>
        </w:tc>
        <w:tc>
          <w:tcPr>
            <w:tcW w:type="dxa" w:w="1814"/>
            <w:shd w:val="clear" w:color="auto" w:fill="0A0A0A"/>
          </w:tcPr>
          <w:p>
            <w:r/>
            <w:r>
              <w:rPr>
                <w:b/>
                <w:color w:val="FFFFFF"/>
                <w:sz w:val="20"/>
              </w:rPr>
              <w:t>Sanction</w:t>
            </w:r>
          </w:p>
        </w:tc>
        <w:tc>
          <w:tcPr>
            <w:tcW w:type="dxa" w:w="1814"/>
            <w:shd w:val="clear" w:color="auto" w:fill="0A0A0A"/>
          </w:tcPr>
          <w:p>
            <w:r/>
            <w:r>
              <w:rPr>
                <w:b/>
                <w:color w:val="FFFFFF"/>
                <w:sz w:val="20"/>
              </w:rPr>
              <w:t>Lesson</w:t>
            </w:r>
          </w:p>
        </w:tc>
      </w:tr>
      <w:tr>
        <w:tc>
          <w:tcPr>
            <w:tcW w:type="dxa" w:w="1814"/>
          </w:tcPr>
          <w:p>
            <w:r/>
            <w:r>
              <w:rPr>
                <w:sz w:val="20"/>
              </w:rPr>
              <w:t>Jun 2023</w:t>
            </w:r>
          </w:p>
        </w:tc>
        <w:tc>
          <w:tcPr>
            <w:tcW w:type="dxa" w:w="1814"/>
          </w:tcPr>
          <w:p>
            <w:r/>
            <w:r>
              <w:rPr>
                <w:sz w:val="20"/>
              </w:rPr>
              <w:t>Mata v. Avianca, S.D.N.Y.</w:t>
            </w:r>
          </w:p>
        </w:tc>
        <w:tc>
          <w:tcPr>
            <w:tcW w:type="dxa" w:w="1814"/>
          </w:tcPr>
          <w:p>
            <w:r/>
            <w:r>
              <w:rPr>
                <w:sz w:val="20"/>
              </w:rPr>
              <w:t>ChatGPT (consumer)</w:t>
            </w:r>
          </w:p>
        </w:tc>
        <w:tc>
          <w:tcPr>
            <w:tcW w:type="dxa" w:w="1814"/>
          </w:tcPr>
          <w:p>
            <w:r/>
            <w:r>
              <w:rPr>
                <w:sz w:val="20"/>
              </w:rPr>
              <w:t>$5,000 + firm; CLE; client letter</w:t>
            </w:r>
          </w:p>
        </w:tc>
        <w:tc>
          <w:tcPr>
            <w:tcW w:type="dxa" w:w="1814"/>
          </w:tcPr>
          <w:p>
            <w:r/>
            <w:r>
              <w:rPr>
                <w:sz w:val="20"/>
              </w:rPr>
              <w:t>Asking the AI to confirm its own citations is not verification.</w:t>
            </w:r>
          </w:p>
        </w:tc>
      </w:tr>
      <w:tr>
        <w:tc>
          <w:tcPr>
            <w:tcW w:type="dxa" w:w="1814"/>
          </w:tcPr>
          <w:p>
            <w:r/>
            <w:r>
              <w:rPr>
                <w:sz w:val="20"/>
              </w:rPr>
              <w:t>Nov 2023</w:t>
            </w:r>
          </w:p>
        </w:tc>
        <w:tc>
          <w:tcPr>
            <w:tcW w:type="dxa" w:w="1814"/>
          </w:tcPr>
          <w:p>
            <w:r/>
            <w:r>
              <w:rPr>
                <w:sz w:val="20"/>
              </w:rPr>
              <w:t>People v. Crabill, Colo. SC</w:t>
            </w:r>
          </w:p>
        </w:tc>
        <w:tc>
          <w:tcPr>
            <w:tcW w:type="dxa" w:w="1814"/>
          </w:tcPr>
          <w:p>
            <w:r/>
            <w:r>
              <w:rPr>
                <w:sz w:val="20"/>
              </w:rPr>
              <w:t>ChatGPT</w:t>
            </w:r>
          </w:p>
        </w:tc>
        <w:tc>
          <w:tcPr>
            <w:tcW w:type="dxa" w:w="1814"/>
          </w:tcPr>
          <w:p>
            <w:r/>
            <w:r>
              <w:rPr>
                <w:sz w:val="20"/>
              </w:rPr>
              <w:t>1-year-and-a-day suspension</w:t>
            </w:r>
          </w:p>
        </w:tc>
        <w:tc>
          <w:tcPr>
            <w:tcW w:type="dxa" w:w="1814"/>
          </w:tcPr>
          <w:p>
            <w:r/>
            <w:r>
              <w:rPr>
                <w:sz w:val="20"/>
              </w:rPr>
              <w:t>First AI-related attorney suspension. Lying to the court about AI use is the aggravator.</w:t>
            </w:r>
          </w:p>
        </w:tc>
      </w:tr>
      <w:tr>
        <w:tc>
          <w:tcPr>
            <w:tcW w:type="dxa" w:w="1814"/>
          </w:tcPr>
          <w:p>
            <w:r/>
            <w:r>
              <w:rPr>
                <w:sz w:val="20"/>
              </w:rPr>
              <w:t>Jan 2024</w:t>
            </w:r>
          </w:p>
        </w:tc>
        <w:tc>
          <w:tcPr>
            <w:tcW w:type="dxa" w:w="1814"/>
          </w:tcPr>
          <w:p>
            <w:r/>
            <w:r>
              <w:rPr>
                <w:sz w:val="20"/>
              </w:rPr>
              <w:t>Park v. Kim, 2d Cir.</w:t>
            </w:r>
          </w:p>
        </w:tc>
        <w:tc>
          <w:tcPr>
            <w:tcW w:type="dxa" w:w="1814"/>
          </w:tcPr>
          <w:p>
            <w:r/>
            <w:r>
              <w:rPr>
                <w:sz w:val="20"/>
              </w:rPr>
              <w:t>ChatGPT</w:t>
            </w:r>
          </w:p>
        </w:tc>
        <w:tc>
          <w:tcPr>
            <w:tcW w:type="dxa" w:w="1814"/>
          </w:tcPr>
          <w:p>
            <w:r/>
            <w:r>
              <w:rPr>
                <w:sz w:val="20"/>
              </w:rPr>
              <w:t>Grievance Panel referral</w:t>
            </w:r>
          </w:p>
        </w:tc>
        <w:tc>
          <w:tcPr>
            <w:tcW w:type="dxa" w:w="1814"/>
          </w:tcPr>
          <w:p>
            <w:r/>
            <w:r>
              <w:rPr>
                <w:sz w:val="20"/>
              </w:rPr>
              <w:t>Eight months after Mata: novelty is no longer mitigating.</w:t>
            </w:r>
          </w:p>
        </w:tc>
      </w:tr>
      <w:tr>
        <w:tc>
          <w:tcPr>
            <w:tcW w:type="dxa" w:w="1814"/>
          </w:tcPr>
          <w:p>
            <w:r/>
            <w:r>
              <w:rPr>
                <w:sz w:val="20"/>
              </w:rPr>
              <w:t>Feb 2024</w:t>
            </w:r>
          </w:p>
        </w:tc>
        <w:tc>
          <w:tcPr>
            <w:tcW w:type="dxa" w:w="1814"/>
          </w:tcPr>
          <w:p>
            <w:r/>
            <w:r>
              <w:rPr>
                <w:sz w:val="20"/>
              </w:rPr>
              <w:t>Kruse v. Karlen, Mo. Ct. App.</w:t>
            </w:r>
          </w:p>
        </w:tc>
        <w:tc>
          <w:tcPr>
            <w:tcW w:type="dxa" w:w="1814"/>
          </w:tcPr>
          <w:p>
            <w:r/>
            <w:r>
              <w:rPr>
                <w:sz w:val="20"/>
              </w:rPr>
              <w:t>Unidentified</w:t>
            </w:r>
          </w:p>
        </w:tc>
        <w:tc>
          <w:tcPr>
            <w:tcW w:type="dxa" w:w="1814"/>
          </w:tcPr>
          <w:p>
            <w:r/>
            <w:r>
              <w:rPr>
                <w:sz w:val="20"/>
              </w:rPr>
              <w:t>$10,000 + appeal dismissed</w:t>
            </w:r>
          </w:p>
        </w:tc>
        <w:tc>
          <w:tcPr>
            <w:tcW w:type="dxa" w:w="1814"/>
          </w:tcPr>
          <w:p>
            <w:r/>
            <w:r>
              <w:rPr>
                <w:sz w:val="20"/>
              </w:rPr>
              <w:t>22 of 24 citations fabricated. State appellate court will dismiss.</w:t>
            </w:r>
          </w:p>
        </w:tc>
      </w:tr>
      <w:tr>
        <w:tc>
          <w:tcPr>
            <w:tcW w:type="dxa" w:w="1814"/>
          </w:tcPr>
          <w:p>
            <w:r/>
            <w:r>
              <w:rPr>
                <w:sz w:val="20"/>
              </w:rPr>
              <w:t>Feb 2025</w:t>
            </w:r>
          </w:p>
        </w:tc>
        <w:tc>
          <w:tcPr>
            <w:tcW w:type="dxa" w:w="1814"/>
          </w:tcPr>
          <w:p>
            <w:r/>
            <w:r>
              <w:rPr>
                <w:sz w:val="20"/>
              </w:rPr>
              <w:t>Wadsworth v. Walmart, D. Wyo.</w:t>
            </w:r>
          </w:p>
        </w:tc>
        <w:tc>
          <w:tcPr>
            <w:tcW w:type="dxa" w:w="1814"/>
          </w:tcPr>
          <w:p>
            <w:r/>
            <w:r>
              <w:rPr>
                <w:sz w:val="20"/>
              </w:rPr>
              <w:t>In-house AI tool ('MX2')</w:t>
            </w:r>
          </w:p>
        </w:tc>
        <w:tc>
          <w:tcPr>
            <w:tcW w:type="dxa" w:w="1814"/>
          </w:tcPr>
          <w:p>
            <w:r/>
            <w:r>
              <w:rPr>
                <w:sz w:val="20"/>
              </w:rPr>
              <w:t>$5,000 ea.; pro hac withdrawn</w:t>
            </w:r>
          </w:p>
        </w:tc>
        <w:tc>
          <w:tcPr>
            <w:tcW w:type="dxa" w:w="1814"/>
          </w:tcPr>
          <w:p>
            <w:r/>
            <w:r>
              <w:rPr>
                <w:sz w:val="20"/>
              </w:rPr>
              <w:t>Even Morgan &amp; Morgan (42nd-largest US firm) and 'in-house' AI tools are sanctionable.</w:t>
            </w:r>
          </w:p>
        </w:tc>
      </w:tr>
      <w:tr>
        <w:tc>
          <w:tcPr>
            <w:tcW w:type="dxa" w:w="1814"/>
          </w:tcPr>
          <w:p>
            <w:r/>
            <w:r>
              <w:rPr>
                <w:sz w:val="20"/>
              </w:rPr>
              <w:t>May 2025</w:t>
            </w:r>
          </w:p>
        </w:tc>
        <w:tc>
          <w:tcPr>
            <w:tcW w:type="dxa" w:w="1814"/>
          </w:tcPr>
          <w:p>
            <w:r/>
            <w:r>
              <w:rPr>
                <w:sz w:val="20"/>
              </w:rPr>
              <w:t>Lacey v. State Farm, C.D. Cal.</w:t>
            </w:r>
          </w:p>
        </w:tc>
        <w:tc>
          <w:tcPr>
            <w:tcW w:type="dxa" w:w="1814"/>
          </w:tcPr>
          <w:p>
            <w:r/>
            <w:r>
              <w:rPr>
                <w:sz w:val="20"/>
              </w:rPr>
              <w:t>CoCounsel + Westlaw + Gemini</w:t>
            </w:r>
          </w:p>
        </w:tc>
        <w:tc>
          <w:tcPr>
            <w:tcW w:type="dxa" w:w="1814"/>
          </w:tcPr>
          <w:p>
            <w:r/>
            <w:r>
              <w:rPr>
                <w:sz w:val="20"/>
              </w:rPr>
              <w:t>$31,100 (Ellis George + K&amp;L Gates)</w:t>
            </w:r>
          </w:p>
        </w:tc>
        <w:tc>
          <w:tcPr>
            <w:tcW w:type="dxa" w:w="1814"/>
          </w:tcPr>
          <w:p>
            <w:r/>
            <w:r>
              <w:rPr>
                <w:sz w:val="20"/>
              </w:rPr>
              <w:t>Legal-specialized tools still hallucinate. K&amp;L Gates is the 14th-largest US firm.</w:t>
            </w:r>
          </w:p>
        </w:tc>
      </w:tr>
      <w:tr>
        <w:tc>
          <w:tcPr>
            <w:tcW w:type="dxa" w:w="1814"/>
          </w:tcPr>
          <w:p>
            <w:r/>
            <w:r>
              <w:rPr>
                <w:sz w:val="20"/>
              </w:rPr>
              <w:t>Jul 2025</w:t>
            </w:r>
          </w:p>
        </w:tc>
        <w:tc>
          <w:tcPr>
            <w:tcW w:type="dxa" w:w="1814"/>
          </w:tcPr>
          <w:p>
            <w:r/>
            <w:r>
              <w:rPr>
                <w:sz w:val="20"/>
              </w:rPr>
              <w:t>Johnson v. Dunn, N.D. Ala.</w:t>
            </w:r>
          </w:p>
        </w:tc>
        <w:tc>
          <w:tcPr>
            <w:tcW w:type="dxa" w:w="1814"/>
          </w:tcPr>
          <w:p>
            <w:r/>
            <w:r>
              <w:rPr>
                <w:sz w:val="20"/>
              </w:rPr>
              <w:t>Unspecified</w:t>
            </w:r>
          </w:p>
        </w:tc>
        <w:tc>
          <w:tcPr>
            <w:tcW w:type="dxa" w:w="1814"/>
          </w:tcPr>
          <w:p>
            <w:r/>
            <w:r>
              <w:rPr>
                <w:sz w:val="20"/>
              </w:rPr>
              <w:t>Public reprimand + disqualification</w:t>
            </w:r>
          </w:p>
        </w:tc>
        <w:tc>
          <w:tcPr>
            <w:tcW w:type="dxa" w:w="1814"/>
          </w:tcPr>
          <w:p>
            <w:r/>
            <w:r>
              <w:rPr>
                <w:sz w:val="20"/>
              </w:rPr>
              <w:t>Court explicitly noted that monetary sanctions are 'ineffective at deterring.'</w:t>
            </w:r>
          </w:p>
        </w:tc>
      </w:tr>
      <w:tr>
        <w:tc>
          <w:tcPr>
            <w:tcW w:type="dxa" w:w="1814"/>
          </w:tcPr>
          <w:p>
            <w:r/>
            <w:r>
              <w:rPr>
                <w:sz w:val="20"/>
              </w:rPr>
              <w:t>Jul 2025</w:t>
            </w:r>
          </w:p>
        </w:tc>
        <w:tc>
          <w:tcPr>
            <w:tcW w:type="dxa" w:w="1814"/>
          </w:tcPr>
          <w:p>
            <w:r/>
            <w:r>
              <w:rPr>
                <w:sz w:val="20"/>
              </w:rPr>
              <w:t>Coomer v. Lindell, D. Colo.</w:t>
            </w:r>
          </w:p>
        </w:tc>
        <w:tc>
          <w:tcPr>
            <w:tcW w:type="dxa" w:w="1814"/>
          </w:tcPr>
          <w:p>
            <w:r/>
            <w:r>
              <w:rPr>
                <w:sz w:val="20"/>
              </w:rPr>
              <w:t>Copilot + Gemini + Grok</w:t>
            </w:r>
          </w:p>
        </w:tc>
        <w:tc>
          <w:tcPr>
            <w:tcW w:type="dxa" w:w="1814"/>
          </w:tcPr>
          <w:p>
            <w:r/>
            <w:r>
              <w:rPr>
                <w:sz w:val="20"/>
              </w:rPr>
              <w:t>$6,000; ~30 defective citations</w:t>
            </w:r>
          </w:p>
        </w:tc>
        <w:tc>
          <w:tcPr>
            <w:tcW w:type="dxa" w:w="1814"/>
          </w:tcPr>
          <w:p>
            <w:r/>
            <w:r>
              <w:rPr>
                <w:sz w:val="20"/>
              </w:rPr>
              <w:t>Multiple consumer AIs used in parallel without verification.</w:t>
            </w:r>
          </w:p>
        </w:tc>
      </w:tr>
      <w:tr>
        <w:tc>
          <w:tcPr>
            <w:tcW w:type="dxa" w:w="1814"/>
          </w:tcPr>
          <w:p>
            <w:r/>
            <w:r>
              <w:rPr>
                <w:sz w:val="20"/>
              </w:rPr>
              <w:t>Aug 2025</w:t>
            </w:r>
          </w:p>
        </w:tc>
        <w:tc>
          <w:tcPr>
            <w:tcW w:type="dxa" w:w="1814"/>
          </w:tcPr>
          <w:p>
            <w:r/>
            <w:r>
              <w:rPr>
                <w:sz w:val="20"/>
              </w:rPr>
              <w:t>ByoPlanet v. Johansson, S.D. Fla.</w:t>
            </w:r>
          </w:p>
        </w:tc>
        <w:tc>
          <w:tcPr>
            <w:tcW w:type="dxa" w:w="1814"/>
          </w:tcPr>
          <w:p>
            <w:r/>
            <w:r>
              <w:rPr>
                <w:sz w:val="20"/>
              </w:rPr>
              <w:t>Unspecified AI</w:t>
            </w:r>
          </w:p>
        </w:tc>
        <w:tc>
          <w:tcPr>
            <w:tcW w:type="dxa" w:w="1814"/>
          </w:tcPr>
          <w:p>
            <w:r/>
            <w:r>
              <w:rPr>
                <w:sz w:val="20"/>
              </w:rPr>
              <w:t>$86,000 + dismissal w/ prejudice</w:t>
            </w:r>
          </w:p>
        </w:tc>
        <w:tc>
          <w:tcPr>
            <w:tcW w:type="dxa" w:w="1814"/>
          </w:tcPr>
          <w:p>
            <w:r/>
            <w:r>
              <w:rPr>
                <w:sz w:val="20"/>
              </w:rPr>
              <w:t>Largest AI sanction to date. Repeated misuse despite warnings.</w:t>
            </w:r>
          </w:p>
        </w:tc>
      </w:tr>
      <w:tr>
        <w:tc>
          <w:tcPr>
            <w:tcW w:type="dxa" w:w="1814"/>
          </w:tcPr>
          <w:p>
            <w:r/>
            <w:r>
              <w:rPr>
                <w:sz w:val="20"/>
              </w:rPr>
              <w:t>Feb 2026</w:t>
            </w:r>
          </w:p>
        </w:tc>
        <w:tc>
          <w:tcPr>
            <w:tcW w:type="dxa" w:w="1814"/>
          </w:tcPr>
          <w:p>
            <w:r/>
            <w:r>
              <w:rPr>
                <w:sz w:val="20"/>
              </w:rPr>
              <w:t>Fletcher v. Experian, 5th Cir.</w:t>
            </w:r>
          </w:p>
        </w:tc>
        <w:tc>
          <w:tcPr>
            <w:tcW w:type="dxa" w:w="1814"/>
          </w:tcPr>
          <w:p>
            <w:r/>
            <w:r>
              <w:rPr>
                <w:sz w:val="20"/>
              </w:rPr>
              <w:t>Unspecified</w:t>
            </w:r>
          </w:p>
        </w:tc>
        <w:tc>
          <w:tcPr>
            <w:tcW w:type="dxa" w:w="1814"/>
          </w:tcPr>
          <w:p>
            <w:r/>
            <w:r>
              <w:rPr>
                <w:sz w:val="20"/>
              </w:rPr>
              <w:t>$2,500; published opinion</w:t>
            </w:r>
          </w:p>
        </w:tc>
        <w:tc>
          <w:tcPr>
            <w:tcW w:type="dxa" w:w="1814"/>
          </w:tcPr>
          <w:p>
            <w:r/>
            <w:r>
              <w:rPr>
                <w:sz w:val="20"/>
              </w:rPr>
              <w:t>Lying about AI use after the fact = harsher penalties.</w:t>
            </w:r>
          </w:p>
        </w:tc>
      </w:tr>
      <w:tr>
        <w:tc>
          <w:tcPr>
            <w:tcW w:type="dxa" w:w="1814"/>
          </w:tcPr>
          <w:p>
            <w:r/>
            <w:r>
              <w:rPr>
                <w:sz w:val="20"/>
              </w:rPr>
              <w:t>Feb 2026</w:t>
            </w:r>
          </w:p>
        </w:tc>
        <w:tc>
          <w:tcPr>
            <w:tcW w:type="dxa" w:w="1814"/>
          </w:tcPr>
          <w:p>
            <w:r/>
            <w:r>
              <w:rPr>
                <w:sz w:val="20"/>
              </w:rPr>
              <w:t>Cassata v. Macrina, NY Sup.</w:t>
            </w:r>
          </w:p>
        </w:tc>
        <w:tc>
          <w:tcPr>
            <w:tcW w:type="dxa" w:w="1814"/>
          </w:tcPr>
          <w:p>
            <w:r/>
            <w:r>
              <w:rPr>
                <w:sz w:val="20"/>
              </w:rPr>
              <w:t>AI + plagiarized brief</w:t>
            </w:r>
          </w:p>
        </w:tc>
        <w:tc>
          <w:tcPr>
            <w:tcW w:type="dxa" w:w="1814"/>
          </w:tcPr>
          <w:p>
            <w:r/>
            <w:r>
              <w:rPr>
                <w:sz w:val="20"/>
              </w:rPr>
              <w:t>$10,000; first sanctions chart for AI errors</w:t>
            </w:r>
          </w:p>
        </w:tc>
        <w:tc>
          <w:tcPr>
            <w:tcW w:type="dxa" w:w="1814"/>
          </w:tcPr>
          <w:p>
            <w:r/>
            <w:r>
              <w:rPr>
                <w:sz w:val="20"/>
              </w:rPr>
              <w:t>Courts are now systematizing the penalty structure.</w:t>
            </w:r>
          </w:p>
        </w:tc>
      </w:tr>
      <w:tr>
        <w:tc>
          <w:tcPr>
            <w:tcW w:type="dxa" w:w="1814"/>
          </w:tcPr>
          <w:p>
            <w:r/>
            <w:r>
              <w:rPr>
                <w:sz w:val="20"/>
              </w:rPr>
              <w:t>Mar 2026</w:t>
            </w:r>
          </w:p>
        </w:tc>
        <w:tc>
          <w:tcPr>
            <w:tcW w:type="dxa" w:w="1814"/>
          </w:tcPr>
          <w:p>
            <w:r/>
            <w:r>
              <w:rPr>
                <w:sz w:val="20"/>
              </w:rPr>
              <w:t>Federal court, Oregon (per NPR/Charlotin)</w:t>
            </w:r>
          </w:p>
        </w:tc>
        <w:tc>
          <w:tcPr>
            <w:tcW w:type="dxa" w:w="1814"/>
          </w:tcPr>
          <w:p>
            <w:r/>
            <w:r>
              <w:rPr>
                <w:sz w:val="20"/>
              </w:rPr>
              <w:t>Unspecified</w:t>
            </w:r>
          </w:p>
        </w:tc>
        <w:tc>
          <w:tcPr>
            <w:tcW w:type="dxa" w:w="1814"/>
          </w:tcPr>
          <w:p>
            <w:r/>
            <w:r>
              <w:rPr>
                <w:sz w:val="20"/>
              </w:rPr>
              <w:t>$109,700</w:t>
            </w:r>
          </w:p>
        </w:tc>
        <w:tc>
          <w:tcPr>
            <w:tcW w:type="dxa" w:w="1814"/>
          </w:tcPr>
          <w:p>
            <w:r/>
            <w:r>
              <w:rPr>
                <w:sz w:val="20"/>
              </w:rPr>
              <w:t>New record sanction reported.</w:t>
            </w:r>
          </w:p>
        </w:tc>
      </w:tr>
      <w:tr>
        <w:tc>
          <w:tcPr>
            <w:tcW w:type="dxa" w:w="1814"/>
          </w:tcPr>
          <w:p>
            <w:r/>
            <w:r>
              <w:rPr>
                <w:sz w:val="20"/>
              </w:rPr>
              <w:t>Apr 2026</w:t>
            </w:r>
          </w:p>
        </w:tc>
        <w:tc>
          <w:tcPr>
            <w:tcW w:type="dxa" w:w="1814"/>
          </w:tcPr>
          <w:p>
            <w:r/>
            <w:r>
              <w:rPr>
                <w:sz w:val="20"/>
              </w:rPr>
              <w:t>Sullivan &amp; Cromwell — Prince Global, Bankr. S.D.N.Y.</w:t>
            </w:r>
          </w:p>
        </w:tc>
        <w:tc>
          <w:tcPr>
            <w:tcW w:type="dxa" w:w="1814"/>
          </w:tcPr>
          <w:p>
            <w:r/>
            <w:r>
              <w:rPr>
                <w:sz w:val="20"/>
              </w:rPr>
              <w:t>Unspecified</w:t>
            </w:r>
          </w:p>
        </w:tc>
        <w:tc>
          <w:tcPr>
            <w:tcW w:type="dxa" w:w="1814"/>
          </w:tcPr>
          <w:p>
            <w:r/>
            <w:r>
              <w:rPr>
                <w:sz w:val="20"/>
              </w:rPr>
              <w:t>Pending; self-reported</w:t>
            </w:r>
          </w:p>
        </w:tc>
        <w:tc>
          <w:tcPr>
            <w:tcW w:type="dxa" w:w="1814"/>
          </w:tcPr>
          <w:p>
            <w:r/>
            <w:r>
              <w:rPr>
                <w:sz w:val="20"/>
              </w:rPr>
              <w:t>Even the most prestigious firms are exposed. Self-reporting is the right play.</w:t>
            </w:r>
          </w:p>
        </w:tc>
      </w:tr>
    </w:tbl>
    <w:p>
      <w:pPr>
        <w:spacing w:after="80"/>
      </w:pPr>
    </w:p>
    <w:p>
      <w:pPr>
        <w:spacing w:before="400" w:after="120"/>
      </w:pPr>
      <w:r>
        <w:rPr>
          <w:b/>
          <w:sz w:val="30"/>
        </w:rPr>
        <w:t>Appendix D — Vendor TOS Decoded</w:t>
      </w:r>
    </w:p>
    <w:p>
      <w:pPr>
        <w:spacing w:after="120"/>
      </w:pPr>
      <w:r>
        <w:rPr>
          <w:b w:val="0"/>
          <w:i w:val="0"/>
        </w:rPr>
        <w:t>This appendix decodes selected clauses from the current public Terms of Service of three major vendors, accessed in April 2026. Vendor terms change frequently — verify against the current TOS before relying on this analysis.</w:t>
      </w:r>
    </w:p>
    <w:p>
      <w:pPr>
        <w:spacing w:before="240" w:after="120"/>
      </w:pPr>
      <w:r>
        <w:rPr>
          <w:b/>
          <w:sz w:val="25"/>
        </w:rPr>
        <w:t>Harvey (Platform Agreement, Last Updated Jan. 9, 2026)</w:t>
      </w:r>
    </w:p>
    <w:p>
      <w:pPr>
        <w:spacing w:after="120"/>
      </w:pPr>
      <w:r>
        <w:rPr>
          <w:b/>
        </w:rPr>
        <w:t xml:space="preserve">What Harvey says it does with your data. </w:t>
      </w:r>
      <w:r>
        <w:rPr>
          <w:i/>
        </w:rPr>
        <w:t>Harvey's Platform Agreement provides: "You retain all right, title and interest (including any and all intellectual property rights) in and to the Customer Data. You grant to Harvey and its Affiliates a non-exclusive, worldwide, royalty-free right to process the Customer Data and Your Input to the extent necessary to provide the Service to You or Your Affiliates, to prevent or address service or technical problems with the Service, or as may be required by applicable law."</w:t>
      </w:r>
    </w:p>
    <w:p>
      <w:pPr>
        <w:spacing w:after="120"/>
      </w:pPr>
      <w:r>
        <w:rPr>
          <w:b/>
        </w:rPr>
        <w:t xml:space="preserve">Knight CTO interpretation: </w:t>
      </w:r>
      <w:r>
        <w:t>The license is broad on its face but narrowly tied to 'providing the Service.' This is appropriate. Combined with Harvey's separately-stated 'no training on customer data' commitment in their public materials and DPA, the contractual posture is acceptable for D-3 use. Confirm the no-training language is in your executed DPA, not just the public marketing page.</w:t>
      </w:r>
    </w:p>
    <w:p>
      <w:pPr>
        <w:spacing w:after="120"/>
      </w:pPr>
      <w:r>
        <w:rPr>
          <w:b/>
        </w:rPr>
        <w:t xml:space="preserve">Liability cap that nobody reads. </w:t>
      </w:r>
      <w:r>
        <w:t>Harvey's Platform Agreement caps data-breach liability at "the greater of (x) two times the amount actually paid or payable to Harvey by You in the prior 12 months relating to Your use of the Service or (y) $500,000" — described as the 'Data Breach Cap.' For a 50-attorney firm paying ~$700K/year, the cap is $1.4M. For a small firm paying ~$15K/year, the cap is $500K. Consider negotiating the Data Breach Cap upward, or confirming your malpractice carrier covers the gap.</w:t>
      </w:r>
    </w:p>
    <w:p>
      <w:pPr>
        <w:spacing w:after="120"/>
      </w:pPr>
      <w:r>
        <w:rPr>
          <w:b/>
        </w:rPr>
        <w:t xml:space="preserve">Retention. </w:t>
      </w:r>
      <w:r>
        <w:t>Per Harvey's 'Understanding Retention Policies' support article: 'Workspace retention can be customized anywhere from 3 hours after the data is processed by Harvey to 30 days after your agreement with Harvey ends.' Defaults to 30-day-after-termination deletion. Vault retention, custom workflows, and matter numbers are retained independently of workspace retention.</w:t>
      </w:r>
    </w:p>
    <w:p>
      <w:pPr>
        <w:spacing w:after="120"/>
      </w:pPr>
      <w:r>
        <w:rPr>
          <w:b/>
        </w:rPr>
        <w:t xml:space="preserve">Update mechanism. </w:t>
      </w:r>
      <w:r>
        <w:t>Harvey reserves the right to update the Terms unilaterally, but only with the following protection: 'in no event may Harvey update such Terms in a way that detracts from its obligations as agreed to in this Agreement with respect to Confidential Information, Customer Data, Customer Content, or security, without express written authorization from You.' Best-in-class. The lock-in on data and security terms is unusual and protective.</w:t>
      </w:r>
    </w:p>
    <w:p>
      <w:pPr>
        <w:spacing w:before="240" w:after="120"/>
      </w:pPr>
      <w:r>
        <w:rPr>
          <w:b/>
          <w:sz w:val="25"/>
        </w:rPr>
        <w:t>Thomson Reuters CoCounsel</w:t>
      </w:r>
    </w:p>
    <w:p>
      <w:pPr>
        <w:spacing w:after="120"/>
      </w:pPr>
      <w:r>
        <w:rPr>
          <w:b w:val="0"/>
          <w:i w:val="0"/>
        </w:rPr>
        <w:t>Thomson Reuters publishes a 'CoCounsel Drafting security and privacy' video and a separate Security Addendum but does not publish a single canonical TOS-decoded statement equivalent to Harvey's. Material terms are in the executed Master Service Agreement.</w:t>
      </w:r>
    </w:p>
    <w:p>
      <w:pPr>
        <w:spacing w:after="120"/>
      </w:pPr>
      <w:r>
        <w:rPr>
          <w:b w:val="0"/>
          <w:i w:val="0"/>
        </w:rPr>
        <w:t>Required diligence before using CoCounsel for D-3:</w:t>
      </w:r>
    </w:p>
    <w:p>
      <w:pPr>
        <w:pStyle w:val="ListNumber"/>
        <w:spacing w:after="80"/>
      </w:pPr>
      <w:r>
        <w:t>Confirm the executed agreement contains a 'no training on customer data' clause.</w:t>
      </w:r>
    </w:p>
    <w:p>
      <w:pPr>
        <w:pStyle w:val="ListNumber"/>
        <w:spacing w:after="80"/>
      </w:pPr>
      <w:r>
        <w:t>Confirm SOC 2 Type 2 certification is current (request the current report; do not rely on a logo).</w:t>
      </w:r>
    </w:p>
    <w:p>
      <w:pPr>
        <w:pStyle w:val="ListNumber"/>
        <w:spacing w:after="80"/>
      </w:pPr>
      <w:r>
        <w:t>Confirm the data residency clause if your client matter has jurisdictional restrictions.</w:t>
      </w:r>
    </w:p>
    <w:p>
      <w:pPr>
        <w:pStyle w:val="ListNumber"/>
        <w:spacing w:after="80"/>
      </w:pPr>
      <w:r>
        <w:t>Confirm the data-breach notification timeline.</w:t>
      </w:r>
    </w:p>
    <w:p>
      <w:pPr>
        <w:pStyle w:val="ListNumber"/>
        <w:spacing w:after="80"/>
      </w:pPr>
      <w:r>
        <w:t>Confirm what Thomson Reuters does with prompts and outputs after the session ends — and after termination.</w:t>
      </w:r>
    </w:p>
    <w:p>
      <w:pPr>
        <w:pStyle w:val="ListNumber"/>
        <w:spacing w:after="80"/>
      </w:pPr>
      <w:r>
        <w:t>Confirm whether CoCounsel's underlying model providers (which include OpenAI in the legacy Casetext-derived stack) inherit your no-training protection.</w:t>
      </w:r>
    </w:p>
    <w:p>
      <w:pPr>
        <w:spacing w:after="120"/>
      </w:pPr>
      <w:r>
        <w:rPr>
          <w:b/>
        </w:rPr>
        <w:t xml:space="preserve">The Lacey v. State Farm precedent </w:t>
      </w:r>
      <w:r>
        <w:t>(C.D. Cal. May 2025): A team using CoCounsel + Westlaw Precision + Gemini received $31,100 in sanctions. The court did not hold that the tools were defective; it held that the lawyers' verification protocol was inadequate. Use of a Tier-2 tool does not eliminate verification responsibility under Section 8.</w:t>
      </w:r>
    </w:p>
    <w:p>
      <w:pPr>
        <w:spacing w:before="240" w:after="120"/>
      </w:pPr>
      <w:r>
        <w:rPr>
          <w:b/>
          <w:sz w:val="25"/>
        </w:rPr>
        <w:t>OpenAI ChatGPT (Consumer Free Tier)</w:t>
      </w:r>
    </w:p>
    <w:p>
      <w:pPr>
        <w:spacing w:after="120"/>
      </w:pPr>
      <w:r>
        <w:rPr>
          <w:b w:val="0"/>
          <w:i w:val="0"/>
        </w:rPr>
        <w:t>OpenAI's consumer Terms of Service govern use of the free and Plus tiers of ChatGPT. The relevant clauses for legal practice:</w:t>
      </w:r>
    </w:p>
    <w:p>
      <w:pPr>
        <w:pStyle w:val="ListBullet"/>
        <w:spacing w:after="80"/>
      </w:pPr>
      <w:r>
        <w:t>OpenAI may use inputs and outputs to train its models unless the user opts out. The opt-out is accessible in user settings; it is not the default.</w:t>
      </w:r>
    </w:p>
    <w:p>
      <w:pPr>
        <w:pStyle w:val="ListBullet"/>
        <w:spacing w:after="80"/>
      </w:pPr>
      <w:r>
        <w:t>OpenAI personnel may access prompts for safety review.</w:t>
      </w:r>
    </w:p>
    <w:p>
      <w:pPr>
        <w:pStyle w:val="ListBullet"/>
        <w:spacing w:after="80"/>
      </w:pPr>
      <w:r>
        <w:t>Liability is capped at the greater of $100 or the amount paid to OpenAI in the 12 months preceding the claim — i.e., effectively $100 for free users, $240 for Plus users.</w:t>
      </w:r>
    </w:p>
    <w:p>
      <w:pPr>
        <w:pStyle w:val="ListBullet"/>
        <w:spacing w:after="80"/>
      </w:pPr>
      <w:r>
        <w:t>No DPA, no Business Associate Agreement, no SOC 2 commitment in the consumer terms.</w:t>
      </w:r>
    </w:p>
    <w:p>
      <w:pPr>
        <w:spacing w:after="120"/>
      </w:pPr>
      <w:r>
        <w:rPr>
          <w:b/>
        </w:rPr>
        <w:t xml:space="preserve">Knight CTO interpretation: </w:t>
      </w:r>
      <w:r>
        <w:t>The consumer ChatGPT tier is architecturally and contractually unsuited for any data above D-1. ChatGPT Enterprise is a different product with materially different terms. Do not conflate the two.</w:t>
      </w:r>
    </w:p>
    <w:p>
      <w:pPr>
        <w:spacing w:before="240" w:after="120"/>
      </w:pPr>
      <w:r>
        <w:rPr>
          <w:b/>
          <w:sz w:val="25"/>
        </w:rPr>
        <w:t>The recurring 'model improvement' trap</w:t>
      </w:r>
    </w:p>
    <w:p>
      <w:pPr>
        <w:spacing w:after="120"/>
      </w:pPr>
      <w:r>
        <w:rPr>
          <w:b w:val="0"/>
          <w:i w:val="0"/>
        </w:rPr>
        <w:t>Multiple legal-AI vendors include language that sounds protective but is not:</w:t>
      </w:r>
    </w:p>
    <w:p>
      <w:pPr>
        <w:pStyle w:val="ListBullet"/>
        <w:spacing w:after="80"/>
      </w:pPr>
      <w:r>
        <w:t>'We do not use your data to train our foundation models' — does not preclude use to train fine-tuned models, retrieval indexes, or 'service improvement' models.</w:t>
      </w:r>
    </w:p>
    <w:p>
      <w:pPr>
        <w:pStyle w:val="ListBullet"/>
        <w:spacing w:after="80"/>
      </w:pPr>
      <w:r>
        <w:t>'Your data is encrypted in transit and at rest' — addresses transport security but not access controls within the vendor.</w:t>
      </w:r>
    </w:p>
    <w:p>
      <w:pPr>
        <w:pStyle w:val="ListBullet"/>
        <w:spacing w:after="80"/>
      </w:pPr>
      <w:r>
        <w:t>'We are SOC 2 compliant' — refers to a specific audit scope; the audited controls may not include the AI model serving infrastructure.</w:t>
      </w:r>
    </w:p>
    <w:p>
      <w:pPr>
        <w:pStyle w:val="ListBullet"/>
        <w:spacing w:after="80"/>
      </w:pPr>
      <w:r>
        <w:t>'Your data stays in [region]' — may apply only to storage, not to inference compute.</w:t>
      </w:r>
    </w:p>
    <w:p>
      <w:pPr>
        <w:spacing w:after="120"/>
      </w:pPr>
      <w:r>
        <w:rPr>
          <w:b w:val="0"/>
          <w:i w:val="0"/>
        </w:rPr>
        <w:t>Read the executed agreement, not the marketing page. The Knight CTO Vendor Evaluation Checklist (RES_02) provides a structured 60-question framework for this analysis.</w:t>
      </w:r>
    </w:p>
    <w:p>
      <w:pPr>
        <w:spacing w:before="400" w:after="120"/>
      </w:pPr>
      <w:r>
        <w:rPr>
          <w:b/>
          <w:sz w:val="30"/>
        </w:rPr>
        <w:t>Document footer</w:t>
      </w:r>
    </w:p>
    <w:p>
      <w:pPr>
        <w:spacing w:before="160"/>
      </w:pPr>
      <w:r>
        <w:rPr>
          <w:i/>
          <w:color w:val="606060"/>
          <w:sz w:val="18"/>
        </w:rPr>
        <w:t>Published by Knight CTO — Fractional CTO for the practice of law.</w:t>
        <w:br/>
        <w:br/>
        <w:t>This document is provided as a working template, free for any law firm to use, customize, and distribute internally. It is not legal advice. It does not establish an attorney-client relationship. Verify every authority against your jurisdiction before adopting. The document is a snapshot of standards as of April 27, 2026; standards evolve continuously.</w:t>
        <w:br/>
        <w:br/>
        <w:t>Source: https://knightcto.com/resources/firm-ai-use-policy.html · © 2026 Knight CTO · Walnut Creek, California</w:t>
      </w:r>
    </w:p>
    <w:sectPr w:rsidR="00FC693F" w:rsidRPr="0006063C" w:rsidSect="00034616">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